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21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A319FF">
        <w:rPr>
          <w:rFonts w:ascii="Arial" w:hAnsi="Arial" w:cs="Arial"/>
          <w:b/>
          <w:sz w:val="24"/>
          <w:szCs w:val="24"/>
        </w:rPr>
        <w:t xml:space="preserve">José Carlos </w:t>
      </w:r>
      <w:proofErr w:type="spellStart"/>
      <w:r w:rsidR="00A319FF">
        <w:rPr>
          <w:rFonts w:ascii="Arial" w:hAnsi="Arial" w:cs="Arial"/>
          <w:b/>
          <w:sz w:val="24"/>
          <w:szCs w:val="24"/>
        </w:rPr>
        <w:t>Telesca</w:t>
      </w:r>
      <w:proofErr w:type="spellEnd"/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A319FF">
        <w:rPr>
          <w:rFonts w:ascii="Arial" w:hAnsi="Arial" w:cs="Arial"/>
          <w:sz w:val="24"/>
          <w:szCs w:val="24"/>
        </w:rPr>
        <w:t>s Ruas Fernando Ferrari e Severiano Rodrigues do Nascimento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FF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D2E8E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319FF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C05F-0373-495C-A6D4-4C1DE95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2015-11-18T15:19:00Z</cp:lastPrinted>
  <dcterms:created xsi:type="dcterms:W3CDTF">2015-11-18T15:22:00Z</dcterms:created>
  <dcterms:modified xsi:type="dcterms:W3CDTF">2015-11-18T16:29:00Z</dcterms:modified>
</cp:coreProperties>
</file>