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4F" w:rsidRDefault="00D4054F">
      <w:pPr>
        <w:pStyle w:val="Corpodetexto"/>
        <w:spacing w:before="8"/>
        <w:rPr>
          <w:rFonts w:ascii="Times New Roman"/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1359"/>
        <w:gridCol w:w="1193"/>
        <w:gridCol w:w="5386"/>
        <w:gridCol w:w="1246"/>
        <w:gridCol w:w="1248"/>
      </w:tblGrid>
      <w:tr w:rsidR="00D4054F">
        <w:trPr>
          <w:trHeight w:val="323"/>
        </w:trPr>
        <w:tc>
          <w:tcPr>
            <w:tcW w:w="7825" w:type="dxa"/>
            <w:gridSpan w:val="3"/>
            <w:shd w:val="clear" w:color="auto" w:fill="D8D8D8"/>
          </w:tcPr>
          <w:p w:rsidR="00D4054F" w:rsidRDefault="00327162">
            <w:pPr>
              <w:pStyle w:val="TableParagraph"/>
              <w:spacing w:before="86"/>
              <w:ind w:left="2279" w:right="22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QUADRO - VARIAÇÕES PATRIMONIAIS AUMENTATIVAS</w:t>
            </w:r>
          </w:p>
        </w:tc>
        <w:tc>
          <w:tcPr>
            <w:tcW w:w="7880" w:type="dxa"/>
            <w:gridSpan w:val="3"/>
            <w:shd w:val="clear" w:color="auto" w:fill="D8D8D8"/>
          </w:tcPr>
          <w:p w:rsidR="00D4054F" w:rsidRDefault="00327162">
            <w:pPr>
              <w:pStyle w:val="TableParagraph"/>
              <w:spacing w:before="86"/>
              <w:ind w:left="2379" w:right="237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QUADRO - VARIAÇÕES PATRIMONIAIS DIMINUTIVAS</w:t>
            </w:r>
          </w:p>
        </w:tc>
      </w:tr>
      <w:tr w:rsidR="00D4054F">
        <w:trPr>
          <w:trHeight w:val="438"/>
        </w:trPr>
        <w:tc>
          <w:tcPr>
            <w:tcW w:w="5273" w:type="dxa"/>
            <w:shd w:val="clear" w:color="auto" w:fill="D8D8D8"/>
          </w:tcPr>
          <w:p w:rsidR="00D4054F" w:rsidRDefault="00D4054F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D4054F" w:rsidRDefault="00327162">
            <w:pPr>
              <w:pStyle w:val="TableParagraph"/>
              <w:spacing w:before="1"/>
              <w:ind w:left="1346"/>
              <w:rPr>
                <w:b/>
                <w:sz w:val="12"/>
              </w:rPr>
            </w:pPr>
            <w:r>
              <w:rPr>
                <w:b/>
                <w:sz w:val="12"/>
              </w:rPr>
              <w:t>VARIAÇÕES PATRIMONIAIS AUMENTATIVAS</w:t>
            </w:r>
          </w:p>
        </w:tc>
        <w:tc>
          <w:tcPr>
            <w:tcW w:w="1359" w:type="dxa"/>
            <w:shd w:val="clear" w:color="auto" w:fill="D8D8D8"/>
          </w:tcPr>
          <w:p w:rsidR="00D4054F" w:rsidRDefault="00327162">
            <w:pPr>
              <w:pStyle w:val="TableParagraph"/>
              <w:spacing w:before="69"/>
              <w:ind w:left="527" w:right="381" w:hanging="118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Atual</w:t>
            </w:r>
          </w:p>
        </w:tc>
        <w:tc>
          <w:tcPr>
            <w:tcW w:w="1193" w:type="dxa"/>
            <w:shd w:val="clear" w:color="auto" w:fill="D8D8D8"/>
          </w:tcPr>
          <w:p w:rsidR="00D4054F" w:rsidRDefault="00327162">
            <w:pPr>
              <w:pStyle w:val="TableParagraph"/>
              <w:spacing w:before="69"/>
              <w:ind w:left="361" w:right="299" w:hanging="36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Anterior</w:t>
            </w:r>
          </w:p>
        </w:tc>
        <w:tc>
          <w:tcPr>
            <w:tcW w:w="5386" w:type="dxa"/>
            <w:shd w:val="clear" w:color="auto" w:fill="D8D8D8"/>
          </w:tcPr>
          <w:p w:rsidR="00D4054F" w:rsidRDefault="00D4054F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D4054F" w:rsidRDefault="00327162">
            <w:pPr>
              <w:pStyle w:val="TableParagraph"/>
              <w:spacing w:before="1"/>
              <w:ind w:left="1486"/>
              <w:rPr>
                <w:b/>
                <w:sz w:val="12"/>
              </w:rPr>
            </w:pPr>
            <w:r>
              <w:rPr>
                <w:b/>
                <w:sz w:val="12"/>
              </w:rPr>
              <w:t>VARIAÇÕES PATRIMONIAIS DIMINUTIVAS</w:t>
            </w:r>
          </w:p>
        </w:tc>
        <w:tc>
          <w:tcPr>
            <w:tcW w:w="1246" w:type="dxa"/>
            <w:shd w:val="clear" w:color="auto" w:fill="D8D8D8"/>
          </w:tcPr>
          <w:p w:rsidR="00D4054F" w:rsidRDefault="00327162">
            <w:pPr>
              <w:pStyle w:val="TableParagraph"/>
              <w:spacing w:before="69"/>
              <w:ind w:left="471" w:right="326" w:hanging="120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Atual</w:t>
            </w:r>
          </w:p>
        </w:tc>
        <w:tc>
          <w:tcPr>
            <w:tcW w:w="1248" w:type="dxa"/>
            <w:shd w:val="clear" w:color="auto" w:fill="D8D8D8"/>
          </w:tcPr>
          <w:p w:rsidR="00D4054F" w:rsidRDefault="00327162">
            <w:pPr>
              <w:pStyle w:val="TableParagraph"/>
              <w:spacing w:before="69"/>
              <w:ind w:left="389" w:right="326" w:hanging="36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Anterior</w:t>
            </w:r>
          </w:p>
        </w:tc>
      </w:tr>
      <w:tr w:rsidR="00D4054F">
        <w:trPr>
          <w:trHeight w:val="275"/>
        </w:trPr>
        <w:tc>
          <w:tcPr>
            <w:tcW w:w="5273" w:type="dxa"/>
            <w:tcBorders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VARIAÇÕES PATRIMONIAIS AUMENTATIVAS FINANCEIRAS</w:t>
            </w:r>
          </w:p>
        </w:tc>
        <w:tc>
          <w:tcPr>
            <w:tcW w:w="1359" w:type="dxa"/>
            <w:tcBorders>
              <w:bottom w:val="nil"/>
            </w:tcBorders>
          </w:tcPr>
          <w:p w:rsidR="00D4054F" w:rsidRDefault="00327162">
            <w:pPr>
              <w:pStyle w:val="TableParagraph"/>
              <w:spacing w:before="57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3" w:type="dxa"/>
            <w:tcBorders>
              <w:bottom w:val="nil"/>
            </w:tcBorders>
          </w:tcPr>
          <w:p w:rsidR="00D4054F" w:rsidRDefault="00327162">
            <w:pPr>
              <w:pStyle w:val="TableParagraph"/>
              <w:spacing w:before="57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967,73</w:t>
            </w:r>
          </w:p>
        </w:tc>
        <w:tc>
          <w:tcPr>
            <w:tcW w:w="5386" w:type="dxa"/>
            <w:tcBorders>
              <w:bottom w:val="nil"/>
            </w:tcBorders>
          </w:tcPr>
          <w:p w:rsidR="00D4054F" w:rsidRDefault="00327162">
            <w:pPr>
              <w:pStyle w:val="TableParagraph"/>
              <w:spacing w:before="52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PESSOAL E ENCARGOS</w:t>
            </w:r>
          </w:p>
        </w:tc>
        <w:tc>
          <w:tcPr>
            <w:tcW w:w="1246" w:type="dxa"/>
            <w:tcBorders>
              <w:bottom w:val="nil"/>
            </w:tcBorders>
          </w:tcPr>
          <w:p w:rsidR="00D4054F" w:rsidRDefault="00327162">
            <w:pPr>
              <w:pStyle w:val="TableParagraph"/>
              <w:spacing w:before="57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3.535.026,47</w:t>
            </w:r>
          </w:p>
        </w:tc>
        <w:tc>
          <w:tcPr>
            <w:tcW w:w="1248" w:type="dxa"/>
            <w:tcBorders>
              <w:bottom w:val="nil"/>
            </w:tcBorders>
          </w:tcPr>
          <w:p w:rsidR="00D4054F" w:rsidRDefault="00327162">
            <w:pPr>
              <w:pStyle w:val="TableParagraph"/>
              <w:spacing w:before="57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3.253.216,82</w:t>
            </w:r>
          </w:p>
        </w:tc>
      </w:tr>
      <w:tr w:rsidR="00D4054F">
        <w:trPr>
          <w:trHeight w:val="285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left="162"/>
              <w:rPr>
                <w:sz w:val="12"/>
              </w:rPr>
            </w:pPr>
            <w:r>
              <w:rPr>
                <w:sz w:val="12"/>
              </w:rPr>
              <w:t>OUTRAS VARIAÇÕES PATRIMONIAIS AUMENTATIVAS - FINANCEIRAS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5"/>
              <w:jc w:val="right"/>
              <w:rPr>
                <w:sz w:val="12"/>
              </w:rPr>
            </w:pPr>
            <w:r>
              <w:rPr>
                <w:sz w:val="12"/>
              </w:rPr>
              <w:t>967,73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REMUNERAÇÃO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2.725.369,21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2.537.818,35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E DELEGAÇÕES RECEBIDAS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5.229.039,97</w:t>
            </w: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4.311.242,83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58"/>
              <w:ind w:left="157"/>
              <w:rPr>
                <w:sz w:val="12"/>
              </w:rPr>
            </w:pPr>
            <w:r>
              <w:rPr>
                <w:sz w:val="12"/>
              </w:rPr>
              <w:t>ENCARGOS PATRONAIS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583.579,44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536.918,18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left="162"/>
              <w:rPr>
                <w:sz w:val="12"/>
              </w:rPr>
            </w:pPr>
            <w:r>
              <w:rPr>
                <w:sz w:val="12"/>
              </w:rPr>
              <w:t>TRANSFERÊNCIAS INTRAGOVERNAMENTAIS</w:t>
            </w: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5.229.039,97</w:t>
            </w: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4.311.242,83</w:t>
            </w: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58"/>
              <w:ind w:left="157"/>
              <w:rPr>
                <w:sz w:val="12"/>
              </w:rPr>
            </w:pPr>
            <w:r>
              <w:rPr>
                <w:sz w:val="12"/>
              </w:rPr>
              <w:t>BENEFÍCIOS A PESSOAL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157.771,93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137.979,60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OUTRAS VARIAÇÕES PATRIMONIAIS DIMINUTIVAS - PESSOAL E ENCARGOS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68.305,89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40.500,69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BENEFÍCIOS PREVIDENCIÁRIOS E ASSISTENCIAIS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125.541,59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119.441,70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APOSENTADORIAS E REFORMAS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59.938,08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57.016,43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OUTROS BENEFÍCIOS PREVIDENCIÁRIOS E ASSISTENCIAIS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65.603,51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62.425,27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USO DE BENS, SERVIÇOS E CONSUMO DE CAPITAL FIXO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809.801,48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690.630,07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USO DE MATERIAL DE CONSUMO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93.827,75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92.997,28</w:t>
            </w:r>
          </w:p>
        </w:tc>
      </w:tr>
      <w:tr w:rsidR="00D4054F">
        <w:trPr>
          <w:trHeight w:val="285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SERVIÇOS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656.717,88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525.133,43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58"/>
              <w:ind w:left="157"/>
              <w:rPr>
                <w:sz w:val="12"/>
              </w:rPr>
            </w:pPr>
            <w:r>
              <w:rPr>
                <w:sz w:val="12"/>
              </w:rPr>
              <w:t>DEPRECIAÇÃO, AMORTIZAÇÃO E EXAUSTÃO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59.255,85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72.499,36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58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TRANSFERÊNCIAS E DELEGAÇÕES CONCEDIDAS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868.299,03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272.090,10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TRANSFERÊNCIAS INTRAGOVERNAMENTAIS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1"/>
              <w:jc w:val="right"/>
              <w:rPr>
                <w:sz w:val="12"/>
              </w:rPr>
            </w:pPr>
            <w:r>
              <w:rPr>
                <w:sz w:val="12"/>
              </w:rPr>
              <w:t>868.299,03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272.090,10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DESVALORIZAÇÃO E PERDA DE ATIVOS E INCORPORAÇÃO DE PASSIVOS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44.195,47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882,36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REAVALIAÇÃO, REDUÇÃO A VALOR RECUPERÁVEL E AJUSTE PARA PERDAS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40.095,12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DESINCORPORAÇÃO DE ATIVOS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4.100,35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882,36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TRIBUTÁRIAS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2.262,88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1.431,34</w:t>
            </w:r>
          </w:p>
        </w:tc>
      </w:tr>
      <w:tr w:rsidR="00D4054F">
        <w:trPr>
          <w:trHeight w:val="283"/>
        </w:trPr>
        <w:tc>
          <w:tcPr>
            <w:tcW w:w="527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0"/>
              <w:ind w:left="157"/>
              <w:rPr>
                <w:sz w:val="12"/>
              </w:rPr>
            </w:pPr>
            <w:r>
              <w:rPr>
                <w:sz w:val="12"/>
              </w:rPr>
              <w:t>CONTRIBUIÇÕES</w:t>
            </w:r>
          </w:p>
        </w:tc>
        <w:tc>
          <w:tcPr>
            <w:tcW w:w="1246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2.262,88</w:t>
            </w: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1.431,34</w:t>
            </w:r>
          </w:p>
        </w:tc>
      </w:tr>
      <w:tr w:rsidR="00D4054F">
        <w:trPr>
          <w:trHeight w:val="285"/>
        </w:trPr>
        <w:tc>
          <w:tcPr>
            <w:tcW w:w="527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0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OUTRAS VARIAÇÕES PATRIMONIAIS DIMINUTIVAS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D3D3D3"/>
          </w:tcPr>
          <w:p w:rsidR="00D4054F" w:rsidRDefault="00327162">
            <w:pPr>
              <w:pStyle w:val="TableParagraph"/>
              <w:spacing w:before="65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3.865,24</w:t>
            </w:r>
          </w:p>
        </w:tc>
      </w:tr>
      <w:tr w:rsidR="00D4054F">
        <w:trPr>
          <w:trHeight w:val="275"/>
        </w:trPr>
        <w:tc>
          <w:tcPr>
            <w:tcW w:w="5273" w:type="dxa"/>
            <w:tcBorders>
              <w:top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 w:rsidR="00D4054F" w:rsidRDefault="00D4054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D4054F" w:rsidRDefault="00327162">
            <w:pPr>
              <w:pStyle w:val="TableParagraph"/>
              <w:spacing w:before="58"/>
              <w:ind w:left="157"/>
              <w:rPr>
                <w:sz w:val="12"/>
              </w:rPr>
            </w:pPr>
            <w:r>
              <w:rPr>
                <w:sz w:val="12"/>
              </w:rPr>
              <w:t>DIVERSAS VARIAÇÕES PATRIMONIAIS DIMINUTIVAS</w:t>
            </w:r>
          </w:p>
        </w:tc>
        <w:tc>
          <w:tcPr>
            <w:tcW w:w="1246" w:type="dxa"/>
            <w:tcBorders>
              <w:top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8" w:type="dxa"/>
            <w:tcBorders>
              <w:top w:val="nil"/>
            </w:tcBorders>
          </w:tcPr>
          <w:p w:rsidR="00D4054F" w:rsidRDefault="00327162">
            <w:pPr>
              <w:pStyle w:val="TableParagraph"/>
              <w:spacing w:before="62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3.865,24</w:t>
            </w:r>
          </w:p>
        </w:tc>
      </w:tr>
      <w:tr w:rsidR="00D4054F">
        <w:trPr>
          <w:trHeight w:val="210"/>
        </w:trPr>
        <w:tc>
          <w:tcPr>
            <w:tcW w:w="5273" w:type="dxa"/>
            <w:shd w:val="clear" w:color="auto" w:fill="D8D8D8"/>
          </w:tcPr>
          <w:p w:rsidR="00D4054F" w:rsidRDefault="00327162">
            <w:pPr>
              <w:pStyle w:val="TableParagraph"/>
              <w:spacing w:before="24"/>
              <w:ind w:left="23"/>
              <w:rPr>
                <w:b/>
                <w:sz w:val="12"/>
              </w:rPr>
            </w:pPr>
            <w:r>
              <w:rPr>
                <w:b/>
                <w:sz w:val="12"/>
              </w:rPr>
              <w:t>Total das Variações Patrimoniais Aumentativas (I)</w:t>
            </w:r>
          </w:p>
        </w:tc>
        <w:tc>
          <w:tcPr>
            <w:tcW w:w="1359" w:type="dxa"/>
            <w:shd w:val="clear" w:color="auto" w:fill="D8D8D8"/>
          </w:tcPr>
          <w:p w:rsidR="00D4054F" w:rsidRDefault="00327162">
            <w:pPr>
              <w:pStyle w:val="TableParagraph"/>
              <w:spacing w:before="28"/>
              <w:ind w:right="1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5.229.039,97</w:t>
            </w:r>
          </w:p>
        </w:tc>
        <w:tc>
          <w:tcPr>
            <w:tcW w:w="1193" w:type="dxa"/>
            <w:shd w:val="clear" w:color="auto" w:fill="D8D8D8"/>
          </w:tcPr>
          <w:p w:rsidR="00D4054F" w:rsidRDefault="00327162">
            <w:pPr>
              <w:pStyle w:val="TableParagraph"/>
              <w:spacing w:before="28"/>
              <w:ind w:right="1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4.312.210,56</w:t>
            </w:r>
          </w:p>
        </w:tc>
        <w:tc>
          <w:tcPr>
            <w:tcW w:w="5386" w:type="dxa"/>
            <w:shd w:val="clear" w:color="auto" w:fill="D8D8D8"/>
          </w:tcPr>
          <w:p w:rsidR="00D4054F" w:rsidRDefault="00327162">
            <w:pPr>
              <w:pStyle w:val="TableParagraph"/>
              <w:spacing w:before="28"/>
              <w:ind w:left="22"/>
              <w:rPr>
                <w:b/>
                <w:sz w:val="12"/>
              </w:rPr>
            </w:pPr>
            <w:r>
              <w:rPr>
                <w:b/>
                <w:sz w:val="12"/>
              </w:rPr>
              <w:t>Total das Variações Patrimoniais Diminutivas (II)</w:t>
            </w:r>
          </w:p>
        </w:tc>
        <w:tc>
          <w:tcPr>
            <w:tcW w:w="1246" w:type="dxa"/>
            <w:shd w:val="clear" w:color="auto" w:fill="D8D8D8"/>
          </w:tcPr>
          <w:p w:rsidR="00D4054F" w:rsidRDefault="00327162">
            <w:pPr>
              <w:pStyle w:val="TableParagraph"/>
              <w:spacing w:before="28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5.385.126,92</w:t>
            </w:r>
          </w:p>
        </w:tc>
        <w:tc>
          <w:tcPr>
            <w:tcW w:w="1248" w:type="dxa"/>
            <w:shd w:val="clear" w:color="auto" w:fill="D8D8D8"/>
          </w:tcPr>
          <w:p w:rsidR="00D4054F" w:rsidRDefault="00327162">
            <w:pPr>
              <w:pStyle w:val="TableParagraph"/>
              <w:spacing w:before="28"/>
              <w:ind w:right="1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4.341.557,63</w:t>
            </w:r>
          </w:p>
        </w:tc>
      </w:tr>
      <w:tr w:rsidR="00D4054F">
        <w:trPr>
          <w:trHeight w:val="212"/>
        </w:trPr>
        <w:tc>
          <w:tcPr>
            <w:tcW w:w="15705" w:type="dxa"/>
            <w:gridSpan w:val="6"/>
            <w:shd w:val="clear" w:color="auto" w:fill="D8D8D8"/>
          </w:tcPr>
          <w:p w:rsidR="00D4054F" w:rsidRDefault="00327162">
            <w:pPr>
              <w:pStyle w:val="TableParagraph"/>
              <w:spacing w:before="14"/>
              <w:ind w:left="4658"/>
              <w:rPr>
                <w:b/>
                <w:sz w:val="14"/>
              </w:rPr>
            </w:pPr>
            <w:r>
              <w:rPr>
                <w:b/>
                <w:sz w:val="14"/>
              </w:rPr>
              <w:t>RESULTADO PATRIMONIAL DO PERÍODO (I-II): -156.086,95</w:t>
            </w:r>
          </w:p>
        </w:tc>
      </w:tr>
    </w:tbl>
    <w:p w:rsidR="00D4054F" w:rsidRDefault="00D4054F">
      <w:pPr>
        <w:pStyle w:val="Corpodetexto"/>
        <w:spacing w:before="7"/>
        <w:rPr>
          <w:rFonts w:ascii="Times New Roman"/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1248"/>
        <w:gridCol w:w="1246"/>
      </w:tblGrid>
      <w:tr w:rsidR="00D4054F">
        <w:trPr>
          <w:trHeight w:val="325"/>
        </w:trPr>
        <w:tc>
          <w:tcPr>
            <w:tcW w:w="7851" w:type="dxa"/>
            <w:gridSpan w:val="3"/>
            <w:shd w:val="clear" w:color="auto" w:fill="D8D8D8"/>
          </w:tcPr>
          <w:p w:rsidR="00D4054F" w:rsidRDefault="00327162">
            <w:pPr>
              <w:pStyle w:val="TableParagraph"/>
              <w:spacing w:before="12" w:line="137" w:lineRule="exact"/>
              <w:ind w:left="2632" w:right="262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VARIAÇÕES PATRIMONIAIS QUALITATIVAS</w:t>
            </w:r>
          </w:p>
          <w:p w:rsidR="00D4054F" w:rsidRDefault="00327162">
            <w:pPr>
              <w:pStyle w:val="TableParagraph"/>
              <w:spacing w:line="137" w:lineRule="exact"/>
              <w:ind w:left="2632" w:right="262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(Decorrentes da execução orçamentária)</w:t>
            </w:r>
          </w:p>
        </w:tc>
      </w:tr>
      <w:tr w:rsidR="00D4054F">
        <w:trPr>
          <w:trHeight w:val="438"/>
        </w:trPr>
        <w:tc>
          <w:tcPr>
            <w:tcW w:w="5357" w:type="dxa"/>
            <w:shd w:val="clear" w:color="auto" w:fill="D8D8D8"/>
          </w:tcPr>
          <w:p w:rsidR="00D4054F" w:rsidRDefault="00D4054F">
            <w:pPr>
              <w:pStyle w:val="TableParagraph"/>
              <w:spacing w:before="5"/>
              <w:rPr>
                <w:rFonts w:ascii="Times New Roman"/>
                <w:sz w:val="12"/>
              </w:rPr>
            </w:pPr>
          </w:p>
          <w:p w:rsidR="00D4054F" w:rsidRDefault="00327162">
            <w:pPr>
              <w:pStyle w:val="TableParagraph"/>
              <w:spacing w:before="1"/>
              <w:ind w:left="2162" w:right="21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1248" w:type="dxa"/>
            <w:shd w:val="clear" w:color="auto" w:fill="D8D8D8"/>
          </w:tcPr>
          <w:p w:rsidR="00D4054F" w:rsidRDefault="00327162">
            <w:pPr>
              <w:pStyle w:val="TableParagraph"/>
              <w:spacing w:before="67"/>
              <w:ind w:left="472" w:right="325" w:hanging="118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Atual</w:t>
            </w:r>
          </w:p>
        </w:tc>
        <w:tc>
          <w:tcPr>
            <w:tcW w:w="1246" w:type="dxa"/>
            <w:shd w:val="clear" w:color="auto" w:fill="D8D8D8"/>
          </w:tcPr>
          <w:p w:rsidR="00D4054F" w:rsidRDefault="00327162">
            <w:pPr>
              <w:pStyle w:val="TableParagraph"/>
              <w:spacing w:before="67"/>
              <w:ind w:left="388" w:right="325" w:hanging="36"/>
              <w:rPr>
                <w:b/>
                <w:sz w:val="12"/>
              </w:rPr>
            </w:pPr>
            <w:r>
              <w:rPr>
                <w:b/>
                <w:sz w:val="12"/>
              </w:rPr>
              <w:t>Exercício Anterior</w:t>
            </w:r>
          </w:p>
        </w:tc>
      </w:tr>
      <w:tr w:rsidR="00D4054F">
        <w:trPr>
          <w:trHeight w:val="210"/>
        </w:trPr>
        <w:tc>
          <w:tcPr>
            <w:tcW w:w="5357" w:type="dxa"/>
          </w:tcPr>
          <w:p w:rsidR="00D4054F" w:rsidRDefault="00327162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sz w:val="12"/>
              </w:rPr>
              <w:t>Incorporação do Ativo</w:t>
            </w:r>
          </w:p>
        </w:tc>
        <w:tc>
          <w:tcPr>
            <w:tcW w:w="1248" w:type="dxa"/>
          </w:tcPr>
          <w:p w:rsidR="00D4054F" w:rsidRDefault="00327162">
            <w:pPr>
              <w:pStyle w:val="TableParagraph"/>
              <w:spacing w:before="2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102.889,20</w:t>
            </w:r>
          </w:p>
        </w:tc>
        <w:tc>
          <w:tcPr>
            <w:tcW w:w="1246" w:type="dxa"/>
          </w:tcPr>
          <w:p w:rsidR="00D4054F" w:rsidRDefault="00327162">
            <w:pPr>
              <w:pStyle w:val="TableParagraph"/>
              <w:spacing w:before="26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4.261,30</w:t>
            </w:r>
          </w:p>
        </w:tc>
      </w:tr>
      <w:tr w:rsidR="00D4054F">
        <w:trPr>
          <w:trHeight w:val="212"/>
        </w:trPr>
        <w:tc>
          <w:tcPr>
            <w:tcW w:w="5357" w:type="dxa"/>
          </w:tcPr>
          <w:p w:rsidR="00D4054F" w:rsidRDefault="00327162"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sz w:val="12"/>
              </w:rPr>
              <w:t>Desincorporação do Passivo</w:t>
            </w:r>
          </w:p>
        </w:tc>
        <w:tc>
          <w:tcPr>
            <w:tcW w:w="1248" w:type="dxa"/>
          </w:tcPr>
          <w:p w:rsidR="00D4054F" w:rsidRDefault="00327162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6" w:type="dxa"/>
          </w:tcPr>
          <w:p w:rsidR="00D4054F" w:rsidRDefault="00327162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4054F">
        <w:trPr>
          <w:trHeight w:val="210"/>
        </w:trPr>
        <w:tc>
          <w:tcPr>
            <w:tcW w:w="5357" w:type="dxa"/>
          </w:tcPr>
          <w:p w:rsidR="00D4054F" w:rsidRDefault="00327162">
            <w:pPr>
              <w:pStyle w:val="TableParagraph"/>
              <w:spacing w:before="26"/>
              <w:ind w:left="26"/>
              <w:rPr>
                <w:sz w:val="12"/>
              </w:rPr>
            </w:pPr>
            <w:r>
              <w:rPr>
                <w:sz w:val="12"/>
              </w:rPr>
              <w:t>Incorporação do Passivo</w:t>
            </w:r>
          </w:p>
        </w:tc>
        <w:tc>
          <w:tcPr>
            <w:tcW w:w="1248" w:type="dxa"/>
          </w:tcPr>
          <w:p w:rsidR="00D4054F" w:rsidRDefault="00327162">
            <w:pPr>
              <w:pStyle w:val="TableParagraph"/>
              <w:spacing w:before="26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6" w:type="dxa"/>
          </w:tcPr>
          <w:p w:rsidR="00D4054F" w:rsidRDefault="00327162">
            <w:pPr>
              <w:pStyle w:val="TableParagraph"/>
              <w:spacing w:before="26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D4054F">
        <w:trPr>
          <w:trHeight w:val="212"/>
        </w:trPr>
        <w:tc>
          <w:tcPr>
            <w:tcW w:w="5357" w:type="dxa"/>
          </w:tcPr>
          <w:p w:rsidR="00D4054F" w:rsidRDefault="00327162">
            <w:pPr>
              <w:pStyle w:val="TableParagraph"/>
              <w:spacing w:before="28"/>
              <w:ind w:left="26"/>
              <w:rPr>
                <w:sz w:val="12"/>
              </w:rPr>
            </w:pPr>
            <w:r>
              <w:rPr>
                <w:sz w:val="12"/>
              </w:rPr>
              <w:t>Desincorporação do Ativo</w:t>
            </w:r>
          </w:p>
        </w:tc>
        <w:tc>
          <w:tcPr>
            <w:tcW w:w="1248" w:type="dxa"/>
          </w:tcPr>
          <w:p w:rsidR="00D4054F" w:rsidRDefault="00327162">
            <w:pPr>
              <w:pStyle w:val="TableParagraph"/>
              <w:spacing w:before="28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246" w:type="dxa"/>
          </w:tcPr>
          <w:p w:rsidR="00D4054F" w:rsidRDefault="00327162">
            <w:pPr>
              <w:pStyle w:val="TableParagraph"/>
              <w:spacing w:before="28"/>
              <w:ind w:right="13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 w:rsidR="00D4054F" w:rsidRDefault="00D4054F">
      <w:pPr>
        <w:jc w:val="right"/>
        <w:rPr>
          <w:sz w:val="12"/>
        </w:rPr>
        <w:sectPr w:rsidR="00D4054F">
          <w:headerReference w:type="default" r:id="rId6"/>
          <w:footerReference w:type="default" r:id="rId7"/>
          <w:type w:val="continuous"/>
          <w:pgSz w:w="16840" w:h="11900" w:orient="landscape"/>
          <w:pgMar w:top="1380" w:right="440" w:bottom="1140" w:left="460" w:header="575" w:footer="940" w:gutter="0"/>
          <w:pgNumType w:start="1"/>
          <w:cols w:space="720"/>
        </w:sectPr>
      </w:pPr>
    </w:p>
    <w:p w:rsidR="00D4054F" w:rsidRDefault="00D4054F">
      <w:pPr>
        <w:pStyle w:val="Corpodetexto"/>
        <w:spacing w:before="4"/>
        <w:rPr>
          <w:rFonts w:ascii="Times New Roman"/>
          <w:sz w:val="17"/>
        </w:rPr>
      </w:pPr>
    </w:p>
    <w:sectPr w:rsidR="00D4054F">
      <w:pgSz w:w="16840" w:h="11900" w:orient="landscape"/>
      <w:pgMar w:top="1380" w:right="440" w:bottom="1140" w:left="460" w:header="575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162" w:rsidRDefault="00327162">
      <w:r>
        <w:separator/>
      </w:r>
    </w:p>
  </w:endnote>
  <w:endnote w:type="continuationSeparator" w:id="0">
    <w:p w:rsidR="00327162" w:rsidRDefault="003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4F" w:rsidRDefault="00327162">
    <w:pPr>
      <w:pStyle w:val="Corpodetexto"/>
      <w:spacing w:before="0" w:line="14" w:lineRule="auto"/>
      <w:rPr>
        <w:sz w:val="20"/>
      </w:rPr>
    </w:pPr>
    <w:r>
      <w:pict>
        <v:line id="_x0000_s2051" style="position:absolute;z-index:-252227584;mso-position-horizontal-relative:page;mso-position-vertical-relative:page" from="28.45pt,534.35pt" to="813.6pt,534.35pt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.65pt;margin-top:539.7pt;width:276.35pt;height:27.2pt;z-index:-252226560;mso-position-horizontal-relative:page;mso-position-vertical-relative:page" filled="f" stroked="f">
          <v:textbox inset="0,0,0,0">
            <w:txbxContent>
              <w:p w:rsidR="00D4054F" w:rsidRDefault="00327162">
                <w:pPr>
                  <w:pStyle w:val="Corpodetexto"/>
                  <w:ind w:left="20"/>
                </w:pPr>
                <w:r>
                  <w:t>Os valores apresentados na coluna “Exercício Anterior” referem-se ao saldo final do exercício anterior. Os valores apresentados consideram a moviment</w:t>
                </w:r>
                <w:r>
                  <w:t>ação das contas Intra OFSS.</w:t>
                </w:r>
              </w:p>
              <w:p w:rsidR="00D4054F" w:rsidRDefault="00327162">
                <w:pPr>
                  <w:pStyle w:val="Corpodetexto"/>
                  <w:spacing w:before="93"/>
                  <w:ind w:left="22"/>
                </w:pPr>
                <w:r>
                  <w:t>PRONIM CP - Contabilidade Pública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22.6pt;margin-top:558.15pt;width:90.7pt;height:8.75pt;z-index:-252225536;mso-position-horizontal-relative:page;mso-position-vertical-relative:page" filled="f" stroked="f">
          <v:textbox inset="0,0,0,0">
            <w:txbxContent>
              <w:p w:rsidR="00D4054F" w:rsidRDefault="00327162">
                <w:pPr>
                  <w:pStyle w:val="Corpodetexto"/>
                  <w:ind w:left="20"/>
                </w:pPr>
                <w:r>
                  <w:t>Emitido em: 24/09/2019 13:01:20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162" w:rsidRDefault="00327162">
      <w:r>
        <w:separator/>
      </w:r>
    </w:p>
  </w:footnote>
  <w:footnote w:type="continuationSeparator" w:id="0">
    <w:p w:rsidR="00327162" w:rsidRDefault="0032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4F" w:rsidRDefault="00327162">
    <w:pPr>
      <w:pStyle w:val="Corpodetexto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.75pt;margin-top:27.75pt;width:55.4pt;height:8.75pt;z-index:-252231680;mso-position-horizontal-relative:page;mso-position-vertical-relative:page" filled="f" stroked="f">
          <v:textbox inset="0,0,0,0">
            <w:txbxContent>
              <w:p w:rsidR="00D4054F" w:rsidRDefault="00327162">
                <w:pPr>
                  <w:pStyle w:val="Corpodetexto"/>
                  <w:ind w:left="20"/>
                </w:pPr>
                <w:r>
                  <w:t>Município: Canguçu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46.5pt;margin-top:27.75pt;width:174.45pt;height:21.15pt;z-index:-252230656;mso-position-horizontal-relative:page;mso-position-vertical-relative:page" filled="f" stroked="f">
          <v:textbox inset="0,0,0,0">
            <w:txbxContent>
              <w:p w:rsidR="00D4054F" w:rsidRDefault="00327162">
                <w:pPr>
                  <w:pStyle w:val="Corpodetexto"/>
                  <w:ind w:right="1"/>
                  <w:jc w:val="center"/>
                </w:pPr>
                <w:r>
                  <w:t>UF: Estado do Rio Grande do Sul</w:t>
                </w:r>
              </w:p>
              <w:p w:rsidR="00D4054F" w:rsidRDefault="00327162">
                <w:pPr>
                  <w:spacing w:before="88"/>
                  <w:jc w:val="center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DEMONSTRAÇÃO DAS VARIAÇÕES PATRIMONIAIS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71.05pt;margin-top:27.75pt;width:39.3pt;height:8.75pt;z-index:-252229632;mso-position-horizontal-relative:page;mso-position-vertical-relative:page" filled="f" stroked="f">
          <v:textbox inset="0,0,0,0">
            <w:txbxContent>
              <w:p w:rsidR="00D4054F" w:rsidRDefault="00327162">
                <w:pPr>
                  <w:pStyle w:val="Corpodetexto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de 2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.75pt;margin-top:50.45pt;width:182.65pt;height:20.15pt;z-index:-252228608;mso-position-horizontal-relative:page;mso-position-vertical-relative:page" filled="f" stroked="f">
          <v:textbox inset="0,0,0,0">
            <w:txbxContent>
              <w:p w:rsidR="00D4054F" w:rsidRDefault="00327162">
                <w:pPr>
                  <w:pStyle w:val="Corpodetexto"/>
                  <w:ind w:left="20"/>
                </w:pPr>
                <w:r>
                  <w:t>Período: Exercício de 2018</w:t>
                </w:r>
              </w:p>
              <w:p w:rsidR="00D4054F" w:rsidRDefault="00327162">
                <w:pPr>
                  <w:pStyle w:val="Corpodetexto"/>
                  <w:spacing w:before="90"/>
                  <w:ind w:left="20"/>
                </w:pPr>
                <w:r>
                  <w:t>Unidade Gestora: 0001 - CÂMARA MUNICIPAL DE VEREADORES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4054F"/>
    <w:rsid w:val="00327162"/>
    <w:rsid w:val="00494F5A"/>
    <w:rsid w:val="00D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0AFF0348-0694-4A35-AD64-D548AB3D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"/>
    </w:pPr>
    <w:rPr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eliza.pinto</dc:creator>
  <cp:lastModifiedBy>Diretor Comunicacao</cp:lastModifiedBy>
  <cp:revision>2</cp:revision>
  <dcterms:created xsi:type="dcterms:W3CDTF">2019-10-10T14:36:00Z</dcterms:created>
  <dcterms:modified xsi:type="dcterms:W3CDTF">2019-10-10T14:36:00Z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PDFCreator Free 3.4.1</vt:lpwstr>
  </property>
  <property fmtid="{D5CDD505-2E9C-101B-9397-08002B2CF9AE}" pid="4" name="LastSaved">
    <vt:filetime>2019-10-10T00:00:00Z</vt:filetime>
  </property>
</Properties>
</file>