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23"/>
      </w:pPr>
      <w:r>
        <w:rPr>
          <w:w w:val="105"/>
        </w:rPr>
        <w:t>Município: Canguçu</w:t>
      </w:r>
    </w:p>
    <w:p>
      <w:pPr>
        <w:spacing w:line="240" w:lineRule="auto" w:before="0"/>
        <w:rPr>
          <w:sz w:val="12"/>
        </w:rPr>
      </w:pPr>
    </w:p>
    <w:p>
      <w:pPr>
        <w:pStyle w:val="BodyText"/>
        <w:spacing w:before="76"/>
        <w:ind w:left="123"/>
      </w:pPr>
      <w:r>
        <w:rPr>
          <w:w w:val="105"/>
        </w:rPr>
        <w:t>Período: Exercício de 2016</w:t>
      </w:r>
    </w:p>
    <w:p>
      <w:pPr>
        <w:pStyle w:val="BodyText"/>
        <w:spacing w:before="100"/>
        <w:ind w:left="123"/>
      </w:pPr>
      <w:r>
        <w:rPr>
          <w:w w:val="105"/>
        </w:rPr>
        <w:t>Unidade Gestora: 0001 - CÂMARA MUNICIPAL DE VEREADORES</w:t>
      </w:r>
    </w:p>
    <w:p>
      <w:pPr>
        <w:pStyle w:val="BodyText"/>
        <w:tabs>
          <w:tab w:pos="5638" w:val="left" w:leader="none"/>
        </w:tabs>
        <w:spacing w:before="76"/>
        <w:ind w:left="123"/>
      </w:pPr>
      <w:r>
        <w:rPr/>
        <w:br w:type="column"/>
      </w:r>
      <w:r>
        <w:rPr>
          <w:w w:val="105"/>
        </w:rPr>
        <w:t>UF: Estado do Rio Grande</w:t>
      </w:r>
      <w:r>
        <w:rPr>
          <w:spacing w:val="-17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Sul</w:t>
        <w:tab/>
        <w:t>Página 1 de</w:t>
      </w:r>
      <w:r>
        <w:rPr>
          <w:spacing w:val="-4"/>
          <w:w w:val="105"/>
        </w:rPr>
        <w:t> </w:t>
      </w:r>
      <w:r>
        <w:rPr>
          <w:w w:val="105"/>
        </w:rPr>
        <w:t>1</w:t>
      </w:r>
    </w:p>
    <w:p>
      <w:pPr>
        <w:spacing w:before="98"/>
        <w:ind w:left="243" w:right="0" w:firstLine="0"/>
        <w:jc w:val="left"/>
        <w:rPr>
          <w:b/>
          <w:sz w:val="15"/>
        </w:rPr>
      </w:pPr>
      <w:r>
        <w:rPr>
          <w:b/>
          <w:sz w:val="15"/>
        </w:rPr>
        <w:t>Balanço Patrimonial</w:t>
      </w:r>
    </w:p>
    <w:p>
      <w:pPr>
        <w:spacing w:after="0"/>
        <w:jc w:val="left"/>
        <w:rPr>
          <w:sz w:val="15"/>
        </w:rPr>
        <w:sectPr>
          <w:type w:val="continuous"/>
          <w:pgSz w:w="11910" w:h="17010"/>
          <w:pgMar w:top="500" w:bottom="280" w:left="460" w:right="440"/>
          <w:cols w:num="2" w:equalWidth="0">
            <w:col w:w="3614" w:space="901"/>
            <w:col w:w="6495"/>
          </w:cols>
        </w:sectPr>
      </w:pPr>
    </w:p>
    <w:p>
      <w:pPr>
        <w:spacing w:line="240" w:lineRule="auto" w:before="7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247"/>
        <w:gridCol w:w="1247"/>
        <w:gridCol w:w="2891"/>
        <w:gridCol w:w="1247"/>
        <w:gridCol w:w="1247"/>
      </w:tblGrid>
      <w:tr>
        <w:trPr>
          <w:trHeight w:val="211" w:hRule="atLeast"/>
        </w:trPr>
        <w:tc>
          <w:tcPr>
            <w:tcW w:w="5385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2495" w:right="24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5385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174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E PATRIMÔNIO LÍQUIDO</w:t>
            </w:r>
          </w:p>
        </w:tc>
      </w:tr>
      <w:tr>
        <w:trPr>
          <w:trHeight w:val="325" w:hRule="atLeast"/>
        </w:trPr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97"/>
              <w:ind w:left="948" w:right="9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97"/>
              <w:ind w:left="949" w:right="9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80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1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332" w:hRule="atLeast"/>
        </w:trPr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CIRCULANTE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129.213,31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71.658,26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9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PATRIMÔNIO LIQUIDO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2.391.150,18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56"/>
              <w:rPr>
                <w:sz w:val="11"/>
              </w:rPr>
            </w:pPr>
            <w:r>
              <w:rPr>
                <w:sz w:val="11"/>
              </w:rPr>
              <w:t>2.154.442,40</w:t>
            </w:r>
          </w:p>
        </w:tc>
      </w:tr>
      <w:tr>
        <w:trPr>
          <w:trHeight w:val="340" w:hRule="atLeast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CAIXA E EQUIVALENTES DE CAIXA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101.349,76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54.825,26</w:t>
            </w: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7"/>
              <w:ind w:left="147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PATRIMÔNIO SOCIAL E CAPITAL SOCIAL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367.709,10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5"/>
              <w:ind w:right="56"/>
              <w:rPr>
                <w:sz w:val="11"/>
              </w:rPr>
            </w:pPr>
            <w:r>
              <w:rPr>
                <w:sz w:val="11"/>
              </w:rPr>
              <w:t>367.709,10</w:t>
            </w:r>
          </w:p>
        </w:tc>
      </w:tr>
      <w:tr>
        <w:trPr>
          <w:trHeight w:val="340" w:hRule="atLeast"/>
        </w:trPr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ESTOQUES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27.863,55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16.833,00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47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RESULTADOS ACUMULADOS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2.023.441,08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1.786.733,30</w:t>
            </w:r>
          </w:p>
        </w:tc>
      </w:tr>
      <w:tr>
        <w:trPr>
          <w:trHeight w:val="332" w:hRule="atLeast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NÃO CIRCULANTE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2.261.936,87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2.082.784,14</w:t>
            </w:r>
          </w:p>
        </w:tc>
        <w:tc>
          <w:tcPr>
            <w:tcW w:w="538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2891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IMOBILIZADO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2.261.936,87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2.082.784,14</w:t>
            </w:r>
          </w:p>
        </w:tc>
        <w:tc>
          <w:tcPr>
            <w:tcW w:w="538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2.391.150,18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2.154.442,40</w:t>
            </w:r>
          </w:p>
        </w:tc>
        <w:tc>
          <w:tcPr>
            <w:tcW w:w="2891" w:type="dxa"/>
            <w:shd w:val="clear" w:color="auto" w:fill="D7D7D7"/>
          </w:tcPr>
          <w:p>
            <w:pPr>
              <w:pStyle w:val="TableParagraph"/>
              <w:spacing w:before="40"/>
              <w:ind w:left="16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2.391.150,18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2.154.442,40</w:t>
            </w:r>
          </w:p>
        </w:tc>
      </w:tr>
    </w:tbl>
    <w:p>
      <w:pPr>
        <w:spacing w:line="240" w:lineRule="auto" w:before="7" w:after="1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1247"/>
        <w:gridCol w:w="1247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2980" w:right="29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DOS ATIVOS E PASSIVOS FINANCEIROS E PERMANENTES - LEI Nº 4.320/64</w:t>
            </w:r>
          </w:p>
        </w:tc>
      </w:tr>
      <w:tr>
        <w:trPr>
          <w:trHeight w:val="325" w:hRule="atLeast"/>
        </w:trPr>
        <w:tc>
          <w:tcPr>
            <w:tcW w:w="8277" w:type="dxa"/>
            <w:shd w:val="clear" w:color="auto" w:fill="D7D7D7"/>
          </w:tcPr>
          <w:p>
            <w:pPr>
              <w:pStyle w:val="TableParagraph"/>
              <w:spacing w:before="97"/>
              <w:ind w:left="3642" w:right="35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(l)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2.391.150,18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2.154.442,40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101.349,76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54.825,26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2.289.800,42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2.099.617,14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(ll)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101.349,76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54.825,26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101.349,76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54.865,26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(40,00)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top w:val="nil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SALDO PATRIMONIAL (l - ll)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2.289.800,42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2.099.617,14</w:t>
            </w:r>
          </w:p>
        </w:tc>
      </w:tr>
    </w:tbl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1247"/>
        <w:gridCol w:w="1247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2980" w:right="29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DAS CONTAS DE COMPENSAÇÃO - LEI Nº 4.320/64</w:t>
            </w:r>
          </w:p>
        </w:tc>
      </w:tr>
      <w:tr>
        <w:trPr>
          <w:trHeight w:val="325" w:hRule="atLeast"/>
        </w:trPr>
        <w:tc>
          <w:tcPr>
            <w:tcW w:w="8277" w:type="dxa"/>
            <w:shd w:val="clear" w:color="auto" w:fill="D7D7D7"/>
          </w:tcPr>
          <w:p>
            <w:pPr>
              <w:pStyle w:val="TableParagraph"/>
              <w:spacing w:before="97"/>
              <w:ind w:left="3614" w:right="360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>
            <w:pPr>
              <w:pStyle w:val="TableParagraph"/>
              <w:spacing w:line="249" w:lineRule="auto" w:before="31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332" w:hRule="atLeast"/>
        </w:trPr>
        <w:tc>
          <w:tcPr>
            <w:tcW w:w="8277" w:type="dxa"/>
            <w:tcBorders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ATIVOS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RECEBIDAS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DIREITOS CONVENIADOS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DIREITOS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CONCEDIDAS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CONVENIADAS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26" w:hRule="atLeast"/>
        </w:trPr>
        <w:tc>
          <w:tcPr>
            <w:tcW w:w="8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9" w:hRule="atLeast"/>
        </w:trPr>
        <w:tc>
          <w:tcPr>
            <w:tcW w:w="827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PASSIVOS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</w:tbl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1474"/>
        <w:gridCol w:w="1474"/>
      </w:tblGrid>
      <w:tr>
        <w:trPr>
          <w:trHeight w:val="211" w:hRule="atLeast"/>
        </w:trPr>
        <w:tc>
          <w:tcPr>
            <w:tcW w:w="10772" w:type="dxa"/>
            <w:gridSpan w:val="3"/>
            <w:shd w:val="clear" w:color="auto" w:fill="D7D7D7"/>
          </w:tcPr>
          <w:p>
            <w:pPr>
              <w:pStyle w:val="TableParagraph"/>
              <w:spacing w:before="40"/>
              <w:ind w:left="4010" w:right="399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 SUPERÁVIT / DÉFICIT FINANCEIRO</w:t>
            </w:r>
          </w:p>
        </w:tc>
      </w:tr>
      <w:tr>
        <w:trPr>
          <w:trHeight w:val="211" w:hRule="atLeast"/>
        </w:trPr>
        <w:tc>
          <w:tcPr>
            <w:tcW w:w="7824" w:type="dxa"/>
            <w:shd w:val="clear" w:color="auto" w:fill="D7D7D7"/>
          </w:tcPr>
          <w:p>
            <w:pPr>
              <w:pStyle w:val="TableParagraph"/>
              <w:spacing w:before="40"/>
              <w:ind w:left="3069" w:right="30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DESTINAÇÃO DE RECURSOS</w:t>
            </w:r>
          </w:p>
        </w:tc>
        <w:tc>
          <w:tcPr>
            <w:tcW w:w="1474" w:type="dxa"/>
            <w:shd w:val="clear" w:color="auto" w:fill="D7D7D7"/>
          </w:tcPr>
          <w:p>
            <w:pPr>
              <w:pStyle w:val="TableParagraph"/>
              <w:spacing w:before="40"/>
              <w:ind w:left="21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ATUAL</w:t>
            </w:r>
          </w:p>
        </w:tc>
        <w:tc>
          <w:tcPr>
            <w:tcW w:w="1474" w:type="dxa"/>
            <w:shd w:val="clear" w:color="auto" w:fill="D7D7D7"/>
          </w:tcPr>
          <w:p>
            <w:pPr>
              <w:pStyle w:val="TableParagraph"/>
              <w:spacing w:before="40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ANTERIOR</w:t>
            </w:r>
          </w:p>
        </w:tc>
      </w:tr>
      <w:tr>
        <w:trPr>
          <w:trHeight w:val="211" w:hRule="atLeast"/>
        </w:trPr>
        <w:tc>
          <w:tcPr>
            <w:tcW w:w="7824" w:type="dxa"/>
            <w:shd w:val="clear" w:color="auto" w:fill="DCDCDC"/>
          </w:tcPr>
          <w:p>
            <w:pPr>
              <w:pStyle w:val="TableParagraph"/>
              <w:spacing w:before="40"/>
              <w:ind w:left="4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Recurso Livre</w:t>
            </w:r>
          </w:p>
        </w:tc>
        <w:tc>
          <w:tcPr>
            <w:tcW w:w="1474" w:type="dxa"/>
            <w:shd w:val="clear" w:color="auto" w:fill="DCDCDC"/>
          </w:tcPr>
          <w:p>
            <w:pPr>
              <w:pStyle w:val="TableParagraph"/>
              <w:spacing w:before="40"/>
              <w:ind w:right="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74" w:type="dxa"/>
            <w:shd w:val="clear" w:color="auto" w:fill="DCDCDC"/>
          </w:tcPr>
          <w:p>
            <w:pPr>
              <w:pStyle w:val="TableParagraph"/>
              <w:spacing w:before="40"/>
              <w:ind w:right="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10772" w:type="dxa"/>
            <w:gridSpan w:val="3"/>
          </w:tcPr>
          <w:p>
            <w:pPr>
              <w:pStyle w:val="TableParagraph"/>
              <w:tabs>
                <w:tab w:pos="9056" w:val="left" w:leader="none"/>
                <w:tab w:pos="10530" w:val="left" w:leader="none"/>
              </w:tabs>
              <w:spacing w:before="40"/>
              <w:ind w:left="624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Total das Fontes</w:t>
            </w:r>
            <w:r>
              <w:rPr>
                <w:spacing w:val="-1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Recursos:</w:t>
              <w:tab/>
              <w:t>0,00</w:t>
              <w:tab/>
            </w:r>
            <w:r>
              <w:rPr>
                <w:spacing w:val="-5"/>
                <w:w w:val="105"/>
                <w:sz w:val="11"/>
              </w:rPr>
              <w:t>0,00</w:t>
            </w: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pStyle w:val="BodyText"/>
        <w:spacing w:before="1"/>
        <w:ind w:left="123"/>
      </w:pPr>
      <w:r>
        <w:rPr>
          <w:w w:val="105"/>
        </w:rPr>
        <w:t>*Nota Explicativa: Os valores apresentados consideram a movimentação das contas Intra OFSS.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</w:p>
    <w:p>
      <w:pPr>
        <w:pStyle w:val="BodyText"/>
        <w:tabs>
          <w:tab w:pos="9173" w:val="left" w:leader="none"/>
        </w:tabs>
        <w:spacing w:before="101"/>
        <w:ind w:left="123"/>
      </w:pPr>
      <w:r>
        <w:rPr>
          <w:w w:val="105"/>
        </w:rPr>
        <w:t>PRONIM CP -</w:t>
      </w:r>
      <w:r>
        <w:rPr>
          <w:spacing w:val="-15"/>
          <w:w w:val="105"/>
        </w:rPr>
        <w:t> </w:t>
      </w:r>
      <w:r>
        <w:rPr>
          <w:w w:val="105"/>
        </w:rPr>
        <w:t>Contabilidade</w:t>
      </w:r>
      <w:r>
        <w:rPr>
          <w:spacing w:val="-5"/>
          <w:w w:val="105"/>
        </w:rPr>
        <w:t> </w:t>
      </w:r>
      <w:r>
        <w:rPr>
          <w:w w:val="105"/>
        </w:rPr>
        <w:t>Pública</w:t>
        <w:tab/>
        <w:t>Emitido em: 18/01/2021</w:t>
      </w:r>
      <w:r>
        <w:rPr>
          <w:spacing w:val="-13"/>
          <w:w w:val="105"/>
        </w:rPr>
        <w:t> </w:t>
      </w:r>
      <w:r>
        <w:rPr>
          <w:w w:val="105"/>
        </w:rPr>
        <w:t>09:06:28</w:t>
      </w:r>
    </w:p>
    <w:sectPr>
      <w:type w:val="continuous"/>
      <w:pgSz w:w="11910" w:h="17010"/>
      <w:pgMar w:top="5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CP179009</dc:subject>
  <dc:title>Report</dc:title>
  <dcterms:created xsi:type="dcterms:W3CDTF">2021-01-18T12:17:40Z</dcterms:created>
  <dcterms:modified xsi:type="dcterms:W3CDTF">2021-01-18T12:17:40Z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2021-01-18T00:00:00Z</vt:filetime>
  </property>
</Properties>
</file>