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28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5"/>
        <w:gridCol w:w="1549"/>
        <w:gridCol w:w="1548"/>
        <w:gridCol w:w="1548"/>
        <w:gridCol w:w="1548"/>
      </w:tblGrid>
      <w:tr>
        <w:trPr>
          <w:trHeight w:val="273" w:hRule="atLeast"/>
        </w:trPr>
        <w:tc>
          <w:tcPr>
            <w:tcW w:w="3855" w:type="dxa"/>
            <w:vMerge w:val="restart"/>
            <w:shd w:val="clear" w:color="auto" w:fill="C0C0C0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2"/>
              <w:ind w:left="1099" w:right="0"/>
              <w:jc w:val="left"/>
              <w:rPr>
                <w:sz w:val="12"/>
              </w:rPr>
            </w:pPr>
            <w:r>
              <w:rPr>
                <w:sz w:val="12"/>
              </w:rPr>
              <w:t>RECEITAS ORÇAMENTÁRIAS</w:t>
            </w:r>
          </w:p>
        </w:tc>
        <w:tc>
          <w:tcPr>
            <w:tcW w:w="1549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533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Previsão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532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Previsão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534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Receitas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581" w:right="54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</w:p>
        </w:tc>
      </w:tr>
      <w:tr>
        <w:trPr>
          <w:trHeight w:val="284" w:hRule="atLeast"/>
        </w:trPr>
        <w:tc>
          <w:tcPr>
            <w:tcW w:w="3855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64"/>
              <w:ind w:left="585" w:right="54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Inicial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64"/>
              <w:ind w:left="481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Atualizada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64"/>
              <w:ind w:left="470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Realizadas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53" w:hRule="atLeast"/>
        </w:trPr>
        <w:tc>
          <w:tcPr>
            <w:tcW w:w="3855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78"/>
              <w:ind w:left="585" w:right="550"/>
              <w:jc w:val="center"/>
              <w:rPr>
                <w:sz w:val="12"/>
              </w:rPr>
            </w:pPr>
            <w:r>
              <w:rPr>
                <w:sz w:val="12"/>
              </w:rPr>
              <w:t>(a)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78"/>
              <w:ind w:left="580" w:right="546"/>
              <w:jc w:val="center"/>
              <w:rPr>
                <w:sz w:val="12"/>
              </w:rPr>
            </w:pPr>
            <w:r>
              <w:rPr>
                <w:sz w:val="12"/>
              </w:rPr>
              <w:t>(b)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78"/>
              <w:ind w:left="581" w:right="544"/>
              <w:jc w:val="center"/>
              <w:rPr>
                <w:sz w:val="12"/>
              </w:rPr>
            </w:pPr>
            <w:r>
              <w:rPr>
                <w:sz w:val="12"/>
              </w:rPr>
              <w:t>(c)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78"/>
              <w:ind w:left="515" w:right="0"/>
              <w:jc w:val="left"/>
              <w:rPr>
                <w:sz w:val="12"/>
              </w:rPr>
            </w:pPr>
            <w:r>
              <w:rPr>
                <w:sz w:val="12"/>
              </w:rPr>
              <w:t>(d) = (c-b)</w:t>
            </w:r>
          </w:p>
        </w:tc>
      </w:tr>
      <w:tr>
        <w:trPr>
          <w:trHeight w:val="270" w:hRule="atLeast"/>
        </w:trPr>
        <w:tc>
          <w:tcPr>
            <w:tcW w:w="3855" w:type="dxa"/>
            <w:shd w:val="clear" w:color="auto" w:fill="C0C0C0"/>
          </w:tcPr>
          <w:p>
            <w:pPr>
              <w:pStyle w:val="TableParagraph"/>
              <w:ind w:left="26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SUBTOTAL DAS RECEITAS (I) = ()</w:t>
            </w:r>
          </w:p>
        </w:tc>
        <w:tc>
          <w:tcPr>
            <w:tcW w:w="1549" w:type="dxa"/>
            <w:shd w:val="clear" w:color="auto" w:fill="C0C0C0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shd w:val="clear" w:color="auto" w:fill="C0C0C0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shd w:val="clear" w:color="auto" w:fill="C0C0C0"/>
          </w:tcPr>
          <w:p>
            <w:pPr>
              <w:pStyle w:val="TableParagraph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shd w:val="clear" w:color="auto" w:fill="C0C0C0"/>
          </w:tcPr>
          <w:p>
            <w:pPr>
              <w:pStyle w:val="TableParagraph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3855" w:type="dxa"/>
            <w:tcBorders>
              <w:bottom w:val="nil"/>
            </w:tcBorders>
          </w:tcPr>
          <w:p>
            <w:pPr>
              <w:pStyle w:val="TableParagraph"/>
              <w:ind w:left="26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Operações de Crédito / Refinanciamento (II)</w:t>
            </w:r>
          </w:p>
        </w:tc>
        <w:tc>
          <w:tcPr>
            <w:tcW w:w="1549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bottom w:val="nil"/>
            </w:tcBorders>
          </w:tcPr>
          <w:p>
            <w:pPr>
              <w:pStyle w:val="TableParagraph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bottom w:val="nil"/>
            </w:tcBorders>
          </w:tcPr>
          <w:p>
            <w:pPr>
              <w:pStyle w:val="TableParagraph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855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left="220" w:right="0"/>
              <w:jc w:val="left"/>
              <w:rPr>
                <w:sz w:val="12"/>
              </w:rPr>
            </w:pPr>
            <w:r>
              <w:rPr>
                <w:sz w:val="12"/>
              </w:rPr>
              <w:t>Operações de Crédito Internas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415" w:right="0"/>
              <w:jc w:val="left"/>
              <w:rPr>
                <w:sz w:val="12"/>
              </w:rPr>
            </w:pPr>
            <w:r>
              <w:rPr>
                <w:sz w:val="12"/>
              </w:rPr>
              <w:t>Mobiliária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93" w:hRule="atLeast"/>
        </w:trPr>
        <w:tc>
          <w:tcPr>
            <w:tcW w:w="3855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left="415" w:right="0"/>
              <w:jc w:val="left"/>
              <w:rPr>
                <w:sz w:val="12"/>
              </w:rPr>
            </w:pPr>
            <w:r>
              <w:rPr>
                <w:sz w:val="12"/>
              </w:rPr>
              <w:t>Contratual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220" w:right="0"/>
              <w:jc w:val="left"/>
              <w:rPr>
                <w:sz w:val="12"/>
              </w:rPr>
            </w:pPr>
            <w:r>
              <w:rPr>
                <w:sz w:val="12"/>
              </w:rPr>
              <w:t>Operações de Crédito Externas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855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left="415" w:right="0"/>
              <w:jc w:val="left"/>
              <w:rPr>
                <w:sz w:val="12"/>
              </w:rPr>
            </w:pPr>
            <w:r>
              <w:rPr>
                <w:sz w:val="12"/>
              </w:rPr>
              <w:t>Mobiliária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77" w:hRule="atLeast"/>
        </w:trPr>
        <w:tc>
          <w:tcPr>
            <w:tcW w:w="3855" w:type="dxa"/>
            <w:tcBorders>
              <w:top w:val="nil"/>
            </w:tcBorders>
          </w:tcPr>
          <w:p>
            <w:pPr>
              <w:pStyle w:val="TableParagraph"/>
              <w:spacing w:before="103"/>
              <w:ind w:left="415" w:right="0"/>
              <w:jc w:val="left"/>
              <w:rPr>
                <w:sz w:val="12"/>
              </w:rPr>
            </w:pPr>
            <w:r>
              <w:rPr>
                <w:sz w:val="12"/>
              </w:rPr>
              <w:t>Contratual</w:t>
            </w:r>
          </w:p>
        </w:tc>
        <w:tc>
          <w:tcPr>
            <w:tcW w:w="1549" w:type="dxa"/>
            <w:tcBorders>
              <w:top w:val="nil"/>
            </w:tcBorders>
          </w:tcPr>
          <w:p>
            <w:pPr>
              <w:pStyle w:val="TableParagraph"/>
              <w:spacing w:before="10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</w:tcBorders>
          </w:tcPr>
          <w:p>
            <w:pPr>
              <w:pStyle w:val="TableParagraph"/>
              <w:spacing w:before="10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</w:tcBorders>
          </w:tcPr>
          <w:p>
            <w:pPr>
              <w:pStyle w:val="TableParagraph"/>
              <w:spacing w:before="103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</w:tcBorders>
          </w:tcPr>
          <w:p>
            <w:pPr>
              <w:pStyle w:val="TableParagraph"/>
              <w:spacing w:before="103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3855" w:type="dxa"/>
            <w:shd w:val="clear" w:color="auto" w:fill="C0C0C0"/>
          </w:tcPr>
          <w:p>
            <w:pPr>
              <w:pStyle w:val="TableParagraph"/>
              <w:ind w:left="26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SUBTOTAL COM REFINANCIAMENTO (III) = (I + II)</w:t>
            </w:r>
          </w:p>
        </w:tc>
        <w:tc>
          <w:tcPr>
            <w:tcW w:w="1549" w:type="dxa"/>
            <w:shd w:val="clear" w:color="auto" w:fill="C0C0C0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shd w:val="clear" w:color="auto" w:fill="C0C0C0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shd w:val="clear" w:color="auto" w:fill="C0C0C0"/>
          </w:tcPr>
          <w:p>
            <w:pPr>
              <w:pStyle w:val="TableParagraph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shd w:val="clear" w:color="auto" w:fill="C0C0C0"/>
          </w:tcPr>
          <w:p>
            <w:pPr>
              <w:pStyle w:val="TableParagraph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3855" w:type="dxa"/>
          </w:tcPr>
          <w:p>
            <w:pPr>
              <w:pStyle w:val="TableParagraph"/>
              <w:ind w:left="26" w:right="0"/>
              <w:jc w:val="left"/>
              <w:rPr>
                <w:sz w:val="12"/>
              </w:rPr>
            </w:pPr>
            <w:r>
              <w:rPr>
                <w:sz w:val="12"/>
              </w:rPr>
              <w:t>Déficit (IV)</w:t>
            </w:r>
          </w:p>
        </w:tc>
        <w:tc>
          <w:tcPr>
            <w:tcW w:w="1549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ind w:right="47"/>
              <w:rPr>
                <w:sz w:val="12"/>
              </w:rPr>
            </w:pPr>
            <w:r>
              <w:rPr>
                <w:w w:val="95"/>
                <w:sz w:val="12"/>
              </w:rPr>
              <w:t>4.599.757,37</w:t>
            </w:r>
          </w:p>
        </w:tc>
        <w:tc>
          <w:tcPr>
            <w:tcW w:w="1548" w:type="dxa"/>
          </w:tcPr>
          <w:p>
            <w:pPr>
              <w:pStyle w:val="TableParagraph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3855" w:type="dxa"/>
            <w:shd w:val="clear" w:color="auto" w:fill="C0C0C0"/>
          </w:tcPr>
          <w:p>
            <w:pPr>
              <w:pStyle w:val="TableParagraph"/>
              <w:ind w:left="26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 (V) = (III + IV)</w:t>
            </w:r>
          </w:p>
        </w:tc>
        <w:tc>
          <w:tcPr>
            <w:tcW w:w="1549" w:type="dxa"/>
            <w:shd w:val="clear" w:color="auto" w:fill="C0C0C0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shd w:val="clear" w:color="auto" w:fill="C0C0C0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shd w:val="clear" w:color="auto" w:fill="C0C0C0"/>
          </w:tcPr>
          <w:p>
            <w:pPr>
              <w:pStyle w:val="TableParagraph"/>
              <w:ind w:right="4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4.599.757,37</w:t>
            </w:r>
          </w:p>
        </w:tc>
        <w:tc>
          <w:tcPr>
            <w:tcW w:w="1548" w:type="dxa"/>
            <w:shd w:val="clear" w:color="auto" w:fill="C0C0C0"/>
          </w:tcPr>
          <w:p>
            <w:pPr>
              <w:pStyle w:val="TableParagraph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3855" w:type="dxa"/>
          </w:tcPr>
          <w:p>
            <w:pPr>
              <w:pStyle w:val="TableParagraph"/>
              <w:ind w:left="26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Saldos de Exercícios Anteriores</w:t>
            </w:r>
          </w:p>
        </w:tc>
        <w:tc>
          <w:tcPr>
            <w:tcW w:w="1549" w:type="dxa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3855" w:type="dxa"/>
            <w:shd w:val="clear" w:color="auto" w:fill="C0C0C0"/>
          </w:tcPr>
          <w:p>
            <w:pPr>
              <w:pStyle w:val="TableParagraph"/>
              <w:ind w:left="177" w:right="0"/>
              <w:jc w:val="left"/>
              <w:rPr>
                <w:sz w:val="12"/>
              </w:rPr>
            </w:pPr>
            <w:r>
              <w:rPr>
                <w:sz w:val="12"/>
              </w:rPr>
              <w:t>Recursos Arrecadados em Exercícios Anteriores</w:t>
            </w:r>
          </w:p>
        </w:tc>
        <w:tc>
          <w:tcPr>
            <w:tcW w:w="1549" w:type="dxa"/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shd w:val="clear" w:color="auto" w:fill="C0C0C0"/>
          </w:tcPr>
          <w:p>
            <w:pPr>
              <w:pStyle w:val="TableParagraph"/>
              <w:ind w:right="4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shd w:val="clear" w:color="auto" w:fill="C0C0C0"/>
          </w:tcPr>
          <w:p>
            <w:pPr>
              <w:pStyle w:val="TableParagraph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3855" w:type="dxa"/>
          </w:tcPr>
          <w:p>
            <w:pPr>
              <w:pStyle w:val="TableParagraph"/>
              <w:ind w:left="177" w:right="0"/>
              <w:jc w:val="left"/>
              <w:rPr>
                <w:sz w:val="12"/>
              </w:rPr>
            </w:pPr>
            <w:r>
              <w:rPr>
                <w:sz w:val="12"/>
              </w:rPr>
              <w:t>Superávit Financeiro</w:t>
            </w:r>
          </w:p>
        </w:tc>
        <w:tc>
          <w:tcPr>
            <w:tcW w:w="1549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3855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left="177" w:right="0"/>
              <w:jc w:val="left"/>
              <w:rPr>
                <w:sz w:val="12"/>
              </w:rPr>
            </w:pPr>
            <w:r>
              <w:rPr>
                <w:sz w:val="12"/>
              </w:rPr>
              <w:t>Reabertura de Créditos Adicionais</w:t>
            </w:r>
          </w:p>
        </w:tc>
        <w:tc>
          <w:tcPr>
            <w:tcW w:w="1549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</w:tbl>
    <w:p>
      <w:pPr>
        <w:spacing w:after="0"/>
        <w:rPr>
          <w:sz w:val="12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631" w:footer="628" w:top="1400" w:bottom="820" w:left="460" w:right="2420"/>
          <w:pgNumType w:start="1"/>
        </w:sectPr>
      </w:pPr>
    </w:p>
    <w:p>
      <w:pPr>
        <w:pStyle w:val="BodyText"/>
        <w:spacing w:before="5"/>
        <w:rPr>
          <w:rFonts w:ascii="Times New Roman"/>
          <w:sz w:val="28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5"/>
        <w:gridCol w:w="1549"/>
        <w:gridCol w:w="1548"/>
        <w:gridCol w:w="1548"/>
        <w:gridCol w:w="1548"/>
        <w:gridCol w:w="1549"/>
        <w:gridCol w:w="1371"/>
      </w:tblGrid>
      <w:tr>
        <w:trPr>
          <w:trHeight w:val="273" w:hRule="atLeast"/>
        </w:trPr>
        <w:tc>
          <w:tcPr>
            <w:tcW w:w="3855" w:type="dxa"/>
            <w:vMerge w:val="restart"/>
            <w:shd w:val="clear" w:color="auto" w:fill="C0C0C0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2"/>
              <w:ind w:left="1077" w:right="0"/>
              <w:jc w:val="left"/>
              <w:rPr>
                <w:sz w:val="12"/>
              </w:rPr>
            </w:pPr>
            <w:r>
              <w:rPr>
                <w:sz w:val="12"/>
              </w:rPr>
              <w:t>DESPESAS ORÇAMENTÁRIAS</w:t>
            </w:r>
          </w:p>
        </w:tc>
        <w:tc>
          <w:tcPr>
            <w:tcW w:w="1549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545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Dotação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543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Dotação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501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Despesas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501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Despesas</w:t>
            </w:r>
          </w:p>
        </w:tc>
        <w:tc>
          <w:tcPr>
            <w:tcW w:w="1549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501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Despesas</w:t>
            </w:r>
          </w:p>
        </w:tc>
        <w:tc>
          <w:tcPr>
            <w:tcW w:w="1371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440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 da</w:t>
            </w:r>
          </w:p>
        </w:tc>
      </w:tr>
      <w:tr>
        <w:trPr>
          <w:trHeight w:val="284" w:hRule="atLeast"/>
        </w:trPr>
        <w:tc>
          <w:tcPr>
            <w:tcW w:w="3855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64"/>
              <w:ind w:left="585" w:right="54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Inicial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64"/>
              <w:ind w:left="481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Atualizada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64"/>
              <w:ind w:left="410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Empenhadas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64"/>
              <w:ind w:left="462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Liquidadas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64"/>
              <w:ind w:left="585" w:right="5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Pagas</w:t>
            </w: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64"/>
              <w:ind w:left="455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Dotação</w:t>
            </w:r>
          </w:p>
        </w:tc>
      </w:tr>
      <w:tr>
        <w:trPr>
          <w:trHeight w:val="253" w:hRule="atLeast"/>
        </w:trPr>
        <w:tc>
          <w:tcPr>
            <w:tcW w:w="3855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78"/>
              <w:ind w:left="585" w:right="550"/>
              <w:jc w:val="center"/>
              <w:rPr>
                <w:sz w:val="12"/>
              </w:rPr>
            </w:pPr>
            <w:r>
              <w:rPr>
                <w:sz w:val="12"/>
              </w:rPr>
              <w:t>(e)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78"/>
              <w:ind w:left="580" w:right="546"/>
              <w:jc w:val="center"/>
              <w:rPr>
                <w:sz w:val="12"/>
              </w:rPr>
            </w:pPr>
            <w:r>
              <w:rPr>
                <w:sz w:val="12"/>
              </w:rPr>
              <w:t>(f)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78"/>
              <w:ind w:left="580" w:right="546"/>
              <w:jc w:val="center"/>
              <w:rPr>
                <w:sz w:val="12"/>
              </w:rPr>
            </w:pPr>
            <w:r>
              <w:rPr>
                <w:sz w:val="12"/>
              </w:rPr>
              <w:t>(g)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78"/>
              <w:ind w:left="580" w:right="546"/>
              <w:jc w:val="center"/>
              <w:rPr>
                <w:sz w:val="12"/>
              </w:rPr>
            </w:pPr>
            <w:r>
              <w:rPr>
                <w:sz w:val="12"/>
              </w:rPr>
              <w:t>(h)</w:t>
            </w:r>
          </w:p>
        </w:tc>
        <w:tc>
          <w:tcPr>
            <w:tcW w:w="1549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78"/>
              <w:ind w:left="585" w:right="550"/>
              <w:jc w:val="center"/>
              <w:rPr>
                <w:sz w:val="12"/>
              </w:rPr>
            </w:pPr>
            <w:r>
              <w:rPr>
                <w:sz w:val="12"/>
              </w:rPr>
              <w:t>(i)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78"/>
              <w:ind w:left="460" w:right="0"/>
              <w:jc w:val="left"/>
              <w:rPr>
                <w:sz w:val="12"/>
              </w:rPr>
            </w:pPr>
            <w:r>
              <w:rPr>
                <w:sz w:val="12"/>
              </w:rPr>
              <w:t>(j) = (f-g)</w:t>
            </w:r>
          </w:p>
        </w:tc>
      </w:tr>
      <w:tr>
        <w:trPr>
          <w:trHeight w:val="282" w:hRule="atLeast"/>
        </w:trPr>
        <w:tc>
          <w:tcPr>
            <w:tcW w:w="3855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left="26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DESPESAS CORRENTES (VI)</w:t>
            </w:r>
          </w:p>
        </w:tc>
        <w:tc>
          <w:tcPr>
            <w:tcW w:w="1549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right="4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5.141.482,00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right="4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4.502.418,97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right="4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4.502.418,97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right="4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4.368.966,80</w:t>
            </w:r>
          </w:p>
        </w:tc>
        <w:tc>
          <w:tcPr>
            <w:tcW w:w="1549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right="4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4.368.966,80</w:t>
            </w:r>
          </w:p>
        </w:tc>
        <w:tc>
          <w:tcPr>
            <w:tcW w:w="1371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220" w:right="0"/>
              <w:jc w:val="left"/>
              <w:rPr>
                <w:sz w:val="12"/>
              </w:rPr>
            </w:pPr>
            <w:r>
              <w:rPr>
                <w:sz w:val="12"/>
              </w:rPr>
              <w:t>PESSOAL E ENCARGOS SOCIAIS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47"/>
              <w:rPr>
                <w:sz w:val="12"/>
              </w:rPr>
            </w:pPr>
            <w:r>
              <w:rPr>
                <w:w w:val="95"/>
                <w:sz w:val="12"/>
              </w:rPr>
              <w:t>3.811.482,00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47"/>
              <w:rPr>
                <w:sz w:val="12"/>
              </w:rPr>
            </w:pPr>
            <w:r>
              <w:rPr>
                <w:w w:val="95"/>
                <w:sz w:val="12"/>
              </w:rPr>
              <w:t>3.371.561,18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47"/>
              <w:rPr>
                <w:sz w:val="12"/>
              </w:rPr>
            </w:pPr>
            <w:r>
              <w:rPr>
                <w:w w:val="95"/>
                <w:sz w:val="12"/>
              </w:rPr>
              <w:t>3.371.561,18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47"/>
              <w:rPr>
                <w:sz w:val="12"/>
              </w:rPr>
            </w:pPr>
            <w:r>
              <w:rPr>
                <w:w w:val="95"/>
                <w:sz w:val="12"/>
              </w:rPr>
              <w:t>3.371.561,18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47"/>
              <w:rPr>
                <w:sz w:val="12"/>
              </w:rPr>
            </w:pPr>
            <w:r>
              <w:rPr>
                <w:w w:val="95"/>
                <w:sz w:val="12"/>
              </w:rPr>
              <w:t>3.371.561,18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855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left="220" w:right="0"/>
              <w:jc w:val="left"/>
              <w:rPr>
                <w:sz w:val="12"/>
              </w:rPr>
            </w:pPr>
            <w:r>
              <w:rPr>
                <w:sz w:val="12"/>
              </w:rPr>
              <w:t>OUTRAS DESPESAS CORRENTES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47"/>
              <w:rPr>
                <w:sz w:val="12"/>
              </w:rPr>
            </w:pPr>
            <w:r>
              <w:rPr>
                <w:w w:val="95"/>
                <w:sz w:val="12"/>
              </w:rPr>
              <w:t>1.330.000,00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47"/>
              <w:rPr>
                <w:sz w:val="12"/>
              </w:rPr>
            </w:pPr>
            <w:r>
              <w:rPr>
                <w:w w:val="95"/>
                <w:sz w:val="12"/>
              </w:rPr>
              <w:t>1.130.857,79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47"/>
              <w:rPr>
                <w:sz w:val="12"/>
              </w:rPr>
            </w:pPr>
            <w:r>
              <w:rPr>
                <w:w w:val="95"/>
                <w:sz w:val="12"/>
              </w:rPr>
              <w:t>1.130.857,79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46"/>
              <w:rPr>
                <w:sz w:val="12"/>
              </w:rPr>
            </w:pPr>
            <w:r>
              <w:rPr>
                <w:w w:val="95"/>
                <w:sz w:val="12"/>
              </w:rPr>
              <w:t>997.405,62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47"/>
              <w:rPr>
                <w:sz w:val="12"/>
              </w:rPr>
            </w:pPr>
            <w:r>
              <w:rPr>
                <w:w w:val="95"/>
                <w:sz w:val="12"/>
              </w:rPr>
              <w:t>997.405,62</w:t>
            </w: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26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DESPESAS DE CAPITAL (VII)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4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637.216,00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4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97.338,40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46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97.338,40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46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94.066,00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4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94.066,00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3855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106"/>
              <w:ind w:left="220" w:right="0"/>
              <w:jc w:val="left"/>
              <w:rPr>
                <w:sz w:val="12"/>
              </w:rPr>
            </w:pPr>
            <w:r>
              <w:rPr>
                <w:sz w:val="12"/>
              </w:rPr>
              <w:t>INVESTIMENTOS</w:t>
            </w:r>
          </w:p>
        </w:tc>
        <w:tc>
          <w:tcPr>
            <w:tcW w:w="1549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47"/>
              <w:rPr>
                <w:sz w:val="12"/>
              </w:rPr>
            </w:pPr>
            <w:r>
              <w:rPr>
                <w:w w:val="95"/>
                <w:sz w:val="12"/>
              </w:rPr>
              <w:t>637.216,00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47"/>
              <w:rPr>
                <w:sz w:val="12"/>
              </w:rPr>
            </w:pPr>
            <w:r>
              <w:rPr>
                <w:w w:val="95"/>
                <w:sz w:val="12"/>
              </w:rPr>
              <w:t>97.338,40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46"/>
              <w:rPr>
                <w:sz w:val="12"/>
              </w:rPr>
            </w:pPr>
            <w:r>
              <w:rPr>
                <w:w w:val="95"/>
                <w:sz w:val="12"/>
              </w:rPr>
              <w:t>97.338,40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46"/>
              <w:rPr>
                <w:sz w:val="12"/>
              </w:rPr>
            </w:pPr>
            <w:r>
              <w:rPr>
                <w:w w:val="95"/>
                <w:sz w:val="12"/>
              </w:rPr>
              <w:t>94.066,00</w:t>
            </w:r>
          </w:p>
        </w:tc>
        <w:tc>
          <w:tcPr>
            <w:tcW w:w="1549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47"/>
              <w:rPr>
                <w:sz w:val="12"/>
              </w:rPr>
            </w:pPr>
            <w:r>
              <w:rPr>
                <w:w w:val="95"/>
                <w:sz w:val="12"/>
              </w:rPr>
              <w:t>94.066,00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10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3855" w:type="dxa"/>
          </w:tcPr>
          <w:p>
            <w:pPr>
              <w:pStyle w:val="TableParagraph"/>
              <w:ind w:left="26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SUBTOTAL DAS DESPESAS (VIII) = (VI + VII)</w:t>
            </w:r>
          </w:p>
        </w:tc>
        <w:tc>
          <w:tcPr>
            <w:tcW w:w="1549" w:type="dxa"/>
          </w:tcPr>
          <w:p>
            <w:pPr>
              <w:pStyle w:val="TableParagraph"/>
              <w:ind w:right="4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5.778.698,00</w:t>
            </w:r>
          </w:p>
        </w:tc>
        <w:tc>
          <w:tcPr>
            <w:tcW w:w="1548" w:type="dxa"/>
          </w:tcPr>
          <w:p>
            <w:pPr>
              <w:pStyle w:val="TableParagraph"/>
              <w:ind w:right="4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4.599.757,37</w:t>
            </w:r>
          </w:p>
        </w:tc>
        <w:tc>
          <w:tcPr>
            <w:tcW w:w="1548" w:type="dxa"/>
          </w:tcPr>
          <w:p>
            <w:pPr>
              <w:pStyle w:val="TableParagraph"/>
              <w:ind w:right="4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4.599.757,37</w:t>
            </w:r>
          </w:p>
        </w:tc>
        <w:tc>
          <w:tcPr>
            <w:tcW w:w="1548" w:type="dxa"/>
          </w:tcPr>
          <w:p>
            <w:pPr>
              <w:pStyle w:val="TableParagraph"/>
              <w:ind w:right="4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4.463.032,80</w:t>
            </w:r>
          </w:p>
        </w:tc>
        <w:tc>
          <w:tcPr>
            <w:tcW w:w="1549" w:type="dxa"/>
          </w:tcPr>
          <w:p>
            <w:pPr>
              <w:pStyle w:val="TableParagraph"/>
              <w:ind w:right="4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4.463.032,80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3855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left="26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Amortização da Dívida / Refinanciamento (IX)</w:t>
            </w:r>
          </w:p>
        </w:tc>
        <w:tc>
          <w:tcPr>
            <w:tcW w:w="1549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371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220" w:right="0"/>
              <w:jc w:val="left"/>
              <w:rPr>
                <w:sz w:val="12"/>
              </w:rPr>
            </w:pPr>
            <w:r>
              <w:rPr>
                <w:sz w:val="12"/>
              </w:rPr>
              <w:t>Amortização da Dívida Interna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855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left="415" w:right="0"/>
              <w:jc w:val="left"/>
              <w:rPr>
                <w:sz w:val="12"/>
              </w:rPr>
            </w:pPr>
            <w:r>
              <w:rPr>
                <w:sz w:val="12"/>
              </w:rPr>
              <w:t>Dívida Mobiliária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87" w:hRule="atLeast"/>
        </w:trPr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415" w:right="0"/>
              <w:jc w:val="left"/>
              <w:rPr>
                <w:sz w:val="12"/>
              </w:rPr>
            </w:pPr>
            <w:r>
              <w:rPr>
                <w:sz w:val="12"/>
              </w:rPr>
              <w:t>Outras Dívidas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855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left="220" w:right="0"/>
              <w:jc w:val="left"/>
              <w:rPr>
                <w:sz w:val="12"/>
              </w:rPr>
            </w:pPr>
            <w:r>
              <w:rPr>
                <w:sz w:val="12"/>
              </w:rPr>
              <w:t>Amortização da Dívida Externa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415" w:right="0"/>
              <w:jc w:val="left"/>
              <w:rPr>
                <w:sz w:val="12"/>
              </w:rPr>
            </w:pPr>
            <w:r>
              <w:rPr>
                <w:sz w:val="12"/>
              </w:rPr>
              <w:t>Dívida Mobiliária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3855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106"/>
              <w:ind w:left="415" w:right="0"/>
              <w:jc w:val="left"/>
              <w:rPr>
                <w:sz w:val="12"/>
              </w:rPr>
            </w:pPr>
            <w:r>
              <w:rPr>
                <w:sz w:val="12"/>
              </w:rPr>
              <w:t>Outras Dívidas</w:t>
            </w:r>
          </w:p>
        </w:tc>
        <w:tc>
          <w:tcPr>
            <w:tcW w:w="1549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10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10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10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10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3855" w:type="dxa"/>
          </w:tcPr>
          <w:p>
            <w:pPr>
              <w:pStyle w:val="TableParagraph"/>
              <w:ind w:left="26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SUBTOTAL COM REFINANCIAMENTO (X) = (VIII + IX)</w:t>
            </w:r>
          </w:p>
        </w:tc>
        <w:tc>
          <w:tcPr>
            <w:tcW w:w="1549" w:type="dxa"/>
          </w:tcPr>
          <w:p>
            <w:pPr>
              <w:pStyle w:val="TableParagraph"/>
              <w:ind w:right="4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5.778.698,00</w:t>
            </w:r>
          </w:p>
        </w:tc>
        <w:tc>
          <w:tcPr>
            <w:tcW w:w="1548" w:type="dxa"/>
          </w:tcPr>
          <w:p>
            <w:pPr>
              <w:pStyle w:val="TableParagraph"/>
              <w:ind w:right="4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4.599.757,37</w:t>
            </w:r>
          </w:p>
        </w:tc>
        <w:tc>
          <w:tcPr>
            <w:tcW w:w="1548" w:type="dxa"/>
          </w:tcPr>
          <w:p>
            <w:pPr>
              <w:pStyle w:val="TableParagraph"/>
              <w:ind w:right="4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4.599.757,37</w:t>
            </w:r>
          </w:p>
        </w:tc>
        <w:tc>
          <w:tcPr>
            <w:tcW w:w="1548" w:type="dxa"/>
          </w:tcPr>
          <w:p>
            <w:pPr>
              <w:pStyle w:val="TableParagraph"/>
              <w:ind w:right="4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4.463.032,80</w:t>
            </w:r>
          </w:p>
        </w:tc>
        <w:tc>
          <w:tcPr>
            <w:tcW w:w="1549" w:type="dxa"/>
          </w:tcPr>
          <w:p>
            <w:pPr>
              <w:pStyle w:val="TableParagraph"/>
              <w:ind w:right="4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4.463.032,80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3855" w:type="dxa"/>
            <w:shd w:val="clear" w:color="auto" w:fill="C0C0C0"/>
          </w:tcPr>
          <w:p>
            <w:pPr>
              <w:pStyle w:val="TableParagraph"/>
              <w:ind w:left="26" w:right="0"/>
              <w:jc w:val="left"/>
              <w:rPr>
                <w:sz w:val="12"/>
              </w:rPr>
            </w:pPr>
            <w:r>
              <w:rPr>
                <w:sz w:val="12"/>
              </w:rPr>
              <w:t>Superávit (XI)</w:t>
            </w:r>
          </w:p>
        </w:tc>
        <w:tc>
          <w:tcPr>
            <w:tcW w:w="1549" w:type="dxa"/>
            <w:shd w:val="clear" w:color="auto" w:fill="C0C0C0"/>
          </w:tcPr>
          <w:p>
            <w:pPr>
              <w:pStyle w:val="TableParagraph"/>
              <w:ind w:right="46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shd w:val="clear" w:color="auto" w:fill="C0C0C0"/>
          </w:tcPr>
          <w:p>
            <w:pPr>
              <w:pStyle w:val="TableParagraph"/>
              <w:ind w:right="46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shd w:val="clear" w:color="auto" w:fill="C0C0C0"/>
          </w:tcPr>
          <w:p>
            <w:pPr>
              <w:pStyle w:val="TableParagraph"/>
              <w:ind w:right="46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shd w:val="clear" w:color="auto" w:fill="C0C0C0"/>
          </w:tcPr>
          <w:p>
            <w:pPr>
              <w:pStyle w:val="TableParagraph"/>
              <w:ind w:right="46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9" w:type="dxa"/>
            <w:shd w:val="clear" w:color="auto" w:fill="C0C0C0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371" w:type="dxa"/>
            <w:shd w:val="clear" w:color="auto" w:fill="C0C0C0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3855" w:type="dxa"/>
          </w:tcPr>
          <w:p>
            <w:pPr>
              <w:pStyle w:val="TableParagraph"/>
              <w:ind w:left="26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 (XII) = (X + XI)</w:t>
            </w:r>
          </w:p>
        </w:tc>
        <w:tc>
          <w:tcPr>
            <w:tcW w:w="1549" w:type="dxa"/>
          </w:tcPr>
          <w:p>
            <w:pPr>
              <w:pStyle w:val="TableParagraph"/>
              <w:ind w:right="4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5.778.698,00</w:t>
            </w:r>
          </w:p>
        </w:tc>
        <w:tc>
          <w:tcPr>
            <w:tcW w:w="1548" w:type="dxa"/>
          </w:tcPr>
          <w:p>
            <w:pPr>
              <w:pStyle w:val="TableParagraph"/>
              <w:ind w:right="4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4.599.757,37</w:t>
            </w:r>
          </w:p>
        </w:tc>
        <w:tc>
          <w:tcPr>
            <w:tcW w:w="1548" w:type="dxa"/>
          </w:tcPr>
          <w:p>
            <w:pPr>
              <w:pStyle w:val="TableParagraph"/>
              <w:ind w:right="4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4.599.757,37</w:t>
            </w:r>
          </w:p>
        </w:tc>
        <w:tc>
          <w:tcPr>
            <w:tcW w:w="1548" w:type="dxa"/>
          </w:tcPr>
          <w:p>
            <w:pPr>
              <w:pStyle w:val="TableParagraph"/>
              <w:ind w:right="4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4.463.032,80</w:t>
            </w:r>
          </w:p>
        </w:tc>
        <w:tc>
          <w:tcPr>
            <w:tcW w:w="1549" w:type="dxa"/>
          </w:tcPr>
          <w:p>
            <w:pPr>
              <w:pStyle w:val="TableParagraph"/>
              <w:ind w:right="4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4.463.032,80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3855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left="26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Reserva do RPPS (XIII)</w:t>
            </w:r>
          </w:p>
        </w:tc>
        <w:tc>
          <w:tcPr>
            <w:tcW w:w="1549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371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631" w:footer="628" w:top="1400" w:bottom="820" w:left="460" w:right="2420"/>
        </w:sectPr>
      </w:pPr>
    </w:p>
    <w:p>
      <w:pPr>
        <w:pStyle w:val="BodyText"/>
        <w:spacing w:before="5"/>
        <w:rPr>
          <w:rFonts w:ascii="Times New Roman"/>
          <w:sz w:val="28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0"/>
        <w:gridCol w:w="1544"/>
        <w:gridCol w:w="1553"/>
        <w:gridCol w:w="1544"/>
        <w:gridCol w:w="1548"/>
        <w:gridCol w:w="1549"/>
        <w:gridCol w:w="1371"/>
      </w:tblGrid>
      <w:tr>
        <w:trPr>
          <w:trHeight w:val="270" w:hRule="atLeast"/>
        </w:trPr>
        <w:tc>
          <w:tcPr>
            <w:tcW w:w="12969" w:type="dxa"/>
            <w:gridSpan w:val="7"/>
            <w:shd w:val="clear" w:color="auto" w:fill="C0C0C0"/>
          </w:tcPr>
          <w:p>
            <w:pPr>
              <w:pStyle w:val="TableParagraph"/>
              <w:spacing w:before="58"/>
              <w:ind w:left="4412" w:right="437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QUADRO DE EXECUÇÃO DOS RESTOS A PAGAR NÃO PROCESSADOS</w:t>
            </w:r>
          </w:p>
        </w:tc>
      </w:tr>
      <w:tr>
        <w:trPr>
          <w:trHeight w:val="270" w:hRule="atLeast"/>
        </w:trPr>
        <w:tc>
          <w:tcPr>
            <w:tcW w:w="3860" w:type="dxa"/>
            <w:vMerge w:val="restart"/>
            <w:shd w:val="clear" w:color="auto" w:fill="C0C0C0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762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RESTOS A PAGAR NÃO PROCESSADOS</w:t>
            </w:r>
          </w:p>
        </w:tc>
        <w:tc>
          <w:tcPr>
            <w:tcW w:w="3097" w:type="dxa"/>
            <w:gridSpan w:val="2"/>
            <w:shd w:val="clear" w:color="auto" w:fill="C0C0C0"/>
          </w:tcPr>
          <w:p>
            <w:pPr>
              <w:pStyle w:val="TableParagraph"/>
              <w:ind w:left="1281" w:right="12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Inscritos</w:t>
            </w:r>
          </w:p>
        </w:tc>
        <w:tc>
          <w:tcPr>
            <w:tcW w:w="1544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4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49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71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2" w:hRule="atLeast"/>
        </w:trPr>
        <w:tc>
          <w:tcPr>
            <w:tcW w:w="3860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left="366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Em Exercícios</w:t>
            </w:r>
          </w:p>
        </w:tc>
        <w:tc>
          <w:tcPr>
            <w:tcW w:w="1553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left="517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Em 31 de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57"/>
              <w:ind w:left="455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Liquidados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57"/>
              <w:ind w:left="581" w:right="5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Pagos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57"/>
              <w:ind w:left="443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Cancelados</w:t>
            </w: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57"/>
              <w:ind w:left="293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 à Pagar</w:t>
            </w:r>
          </w:p>
        </w:tc>
      </w:tr>
      <w:tr>
        <w:trPr>
          <w:trHeight w:val="270" w:hRule="atLeast"/>
        </w:trPr>
        <w:tc>
          <w:tcPr>
            <w:tcW w:w="3860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64"/>
              <w:ind w:left="480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Anteriores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64"/>
              <w:ind w:left="253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Dezembro de 2018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38" w:hRule="atLeast"/>
        </w:trPr>
        <w:tc>
          <w:tcPr>
            <w:tcW w:w="3860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64"/>
              <w:ind w:left="576" w:right="546"/>
              <w:jc w:val="center"/>
              <w:rPr>
                <w:sz w:val="12"/>
              </w:rPr>
            </w:pPr>
            <w:r>
              <w:rPr>
                <w:sz w:val="12"/>
              </w:rPr>
              <w:t>(a)</w:t>
            </w:r>
          </w:p>
        </w:tc>
        <w:tc>
          <w:tcPr>
            <w:tcW w:w="1553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64"/>
              <w:ind w:left="687" w:right="658"/>
              <w:jc w:val="center"/>
              <w:rPr>
                <w:sz w:val="12"/>
              </w:rPr>
            </w:pPr>
            <w:r>
              <w:rPr>
                <w:sz w:val="12"/>
              </w:rPr>
              <w:t>(b)</w:t>
            </w:r>
          </w:p>
        </w:tc>
        <w:tc>
          <w:tcPr>
            <w:tcW w:w="1544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35"/>
              <w:ind w:left="577" w:right="546"/>
              <w:jc w:val="center"/>
              <w:rPr>
                <w:sz w:val="12"/>
              </w:rPr>
            </w:pPr>
            <w:r>
              <w:rPr>
                <w:sz w:val="12"/>
              </w:rPr>
              <w:t>(c)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35"/>
              <w:ind w:left="578" w:right="546"/>
              <w:jc w:val="center"/>
              <w:rPr>
                <w:sz w:val="12"/>
              </w:rPr>
            </w:pPr>
            <w:r>
              <w:rPr>
                <w:sz w:val="12"/>
              </w:rPr>
              <w:t>(d)</w:t>
            </w:r>
          </w:p>
        </w:tc>
        <w:tc>
          <w:tcPr>
            <w:tcW w:w="1549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35"/>
              <w:ind w:left="583" w:right="550"/>
              <w:jc w:val="center"/>
              <w:rPr>
                <w:sz w:val="12"/>
              </w:rPr>
            </w:pPr>
            <w:r>
              <w:rPr>
                <w:sz w:val="12"/>
              </w:rPr>
              <w:t>(e)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35"/>
              <w:ind w:left="315" w:right="0"/>
              <w:jc w:val="left"/>
              <w:rPr>
                <w:sz w:val="12"/>
              </w:rPr>
            </w:pPr>
            <w:r>
              <w:rPr>
                <w:sz w:val="12"/>
              </w:rPr>
              <w:t>(f) = (a+b-d-e)</w:t>
            </w:r>
          </w:p>
        </w:tc>
      </w:tr>
      <w:tr>
        <w:trPr>
          <w:trHeight w:val="282" w:hRule="atLeast"/>
        </w:trPr>
        <w:tc>
          <w:tcPr>
            <w:tcW w:w="3860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left="26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Despesas Correntes (I)</w:t>
            </w:r>
          </w:p>
        </w:tc>
        <w:tc>
          <w:tcPr>
            <w:tcW w:w="1544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53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right="5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55.826,59</w:t>
            </w:r>
          </w:p>
        </w:tc>
        <w:tc>
          <w:tcPr>
            <w:tcW w:w="1544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right="4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49.510,28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right="4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49.510,28</w:t>
            </w:r>
          </w:p>
        </w:tc>
        <w:tc>
          <w:tcPr>
            <w:tcW w:w="1549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right="48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4.816,31</w:t>
            </w:r>
          </w:p>
        </w:tc>
        <w:tc>
          <w:tcPr>
            <w:tcW w:w="1371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right="48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1.500,00</w:t>
            </w:r>
          </w:p>
        </w:tc>
      </w:tr>
      <w:tr>
        <w:trPr>
          <w:trHeight w:val="288" w:hRule="atLeast"/>
        </w:trPr>
        <w:tc>
          <w:tcPr>
            <w:tcW w:w="38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013"/>
              <w:rPr>
                <w:sz w:val="12"/>
              </w:rPr>
            </w:pPr>
            <w:r>
              <w:rPr>
                <w:sz w:val="12"/>
              </w:rPr>
              <w:t>Pessoal e Encargos Sociais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20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93" w:hRule="atLeast"/>
        </w:trPr>
        <w:tc>
          <w:tcPr>
            <w:tcW w:w="3860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028"/>
              <w:rPr>
                <w:sz w:val="12"/>
              </w:rPr>
            </w:pPr>
            <w:r>
              <w:rPr>
                <w:sz w:val="12"/>
              </w:rPr>
              <w:t>Juros e Encargos da Dívida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20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38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015"/>
              <w:rPr>
                <w:sz w:val="12"/>
              </w:rPr>
            </w:pPr>
            <w:r>
              <w:rPr>
                <w:sz w:val="12"/>
              </w:rPr>
              <w:t>Outras Despesas Correntes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52"/>
              <w:rPr>
                <w:sz w:val="12"/>
              </w:rPr>
            </w:pPr>
            <w:r>
              <w:rPr>
                <w:w w:val="95"/>
                <w:sz w:val="12"/>
              </w:rPr>
              <w:t>55.826,59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47"/>
              <w:rPr>
                <w:sz w:val="12"/>
              </w:rPr>
            </w:pPr>
            <w:r>
              <w:rPr>
                <w:w w:val="95"/>
                <w:sz w:val="12"/>
              </w:rPr>
              <w:t>49.510,28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47"/>
              <w:rPr>
                <w:sz w:val="12"/>
              </w:rPr>
            </w:pPr>
            <w:r>
              <w:rPr>
                <w:w w:val="95"/>
                <w:sz w:val="12"/>
              </w:rPr>
              <w:t>49.510,28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48"/>
              <w:rPr>
                <w:sz w:val="12"/>
              </w:rPr>
            </w:pPr>
            <w:r>
              <w:rPr>
                <w:w w:val="95"/>
                <w:sz w:val="12"/>
              </w:rPr>
              <w:t>4.816,31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48"/>
              <w:rPr>
                <w:sz w:val="12"/>
              </w:rPr>
            </w:pPr>
            <w:r>
              <w:rPr>
                <w:w w:val="95"/>
                <w:sz w:val="12"/>
              </w:rPr>
              <w:t>1.500,00</w:t>
            </w:r>
          </w:p>
        </w:tc>
      </w:tr>
      <w:tr>
        <w:trPr>
          <w:trHeight w:val="292" w:hRule="atLeast"/>
        </w:trPr>
        <w:tc>
          <w:tcPr>
            <w:tcW w:w="3860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left="26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Despesas de Capital (II)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5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2.467,00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4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2.467,00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4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2.467,00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6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6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38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328" w:right="0"/>
              <w:jc w:val="left"/>
              <w:rPr>
                <w:sz w:val="12"/>
              </w:rPr>
            </w:pPr>
            <w:r>
              <w:rPr>
                <w:sz w:val="12"/>
              </w:rPr>
              <w:t>Investimentos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52"/>
              <w:rPr>
                <w:sz w:val="12"/>
              </w:rPr>
            </w:pPr>
            <w:r>
              <w:rPr>
                <w:w w:val="95"/>
                <w:sz w:val="12"/>
              </w:rPr>
              <w:t>2.467,00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47"/>
              <w:rPr>
                <w:sz w:val="12"/>
              </w:rPr>
            </w:pPr>
            <w:r>
              <w:rPr>
                <w:w w:val="95"/>
                <w:sz w:val="12"/>
              </w:rPr>
              <w:t>2.467,00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47"/>
              <w:rPr>
                <w:sz w:val="12"/>
              </w:rPr>
            </w:pPr>
            <w:r>
              <w:rPr>
                <w:w w:val="95"/>
                <w:sz w:val="12"/>
              </w:rPr>
              <w:t>2.467,00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860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left="328" w:right="0"/>
              <w:jc w:val="left"/>
              <w:rPr>
                <w:sz w:val="12"/>
              </w:rPr>
            </w:pPr>
            <w:r>
              <w:rPr>
                <w:sz w:val="12"/>
              </w:rPr>
              <w:t>Inversões Financeiras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20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77" w:hRule="atLeast"/>
        </w:trPr>
        <w:tc>
          <w:tcPr>
            <w:tcW w:w="3860" w:type="dxa"/>
            <w:tcBorders>
              <w:top w:val="nil"/>
            </w:tcBorders>
          </w:tcPr>
          <w:p>
            <w:pPr>
              <w:pStyle w:val="TableParagraph"/>
              <w:spacing w:before="103"/>
              <w:ind w:left="328" w:right="0"/>
              <w:jc w:val="left"/>
              <w:rPr>
                <w:sz w:val="12"/>
              </w:rPr>
            </w:pPr>
            <w:r>
              <w:rPr>
                <w:sz w:val="12"/>
              </w:rPr>
              <w:t>Amortização da Dívida</w:t>
            </w:r>
          </w:p>
        </w:tc>
        <w:tc>
          <w:tcPr>
            <w:tcW w:w="1544" w:type="dxa"/>
            <w:tcBorders>
              <w:top w:val="nil"/>
            </w:tcBorders>
          </w:tcPr>
          <w:p>
            <w:pPr>
              <w:pStyle w:val="TableParagraph"/>
              <w:spacing w:before="10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53" w:type="dxa"/>
            <w:tcBorders>
              <w:top w:val="nil"/>
            </w:tcBorders>
          </w:tcPr>
          <w:p>
            <w:pPr>
              <w:pStyle w:val="TableParagraph"/>
              <w:spacing w:before="103"/>
              <w:ind w:right="220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4" w:type="dxa"/>
            <w:tcBorders>
              <w:top w:val="nil"/>
            </w:tcBorders>
          </w:tcPr>
          <w:p>
            <w:pPr>
              <w:pStyle w:val="TableParagraph"/>
              <w:spacing w:before="10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</w:tcBorders>
          </w:tcPr>
          <w:p>
            <w:pPr>
              <w:pStyle w:val="TableParagraph"/>
              <w:spacing w:before="10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</w:tcBorders>
          </w:tcPr>
          <w:p>
            <w:pPr>
              <w:pStyle w:val="TableParagraph"/>
              <w:spacing w:before="103"/>
              <w:ind w:right="21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371" w:type="dxa"/>
            <w:tcBorders>
              <w:top w:val="nil"/>
            </w:tcBorders>
          </w:tcPr>
          <w:p>
            <w:pPr>
              <w:pStyle w:val="TableParagraph"/>
              <w:spacing w:before="103"/>
              <w:ind w:right="21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3860" w:type="dxa"/>
            <w:shd w:val="clear" w:color="auto" w:fill="C0C0C0"/>
          </w:tcPr>
          <w:p>
            <w:pPr>
              <w:pStyle w:val="TableParagraph"/>
              <w:ind w:left="26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 (III) = (I + II)</w:t>
            </w:r>
          </w:p>
        </w:tc>
        <w:tc>
          <w:tcPr>
            <w:tcW w:w="1544" w:type="dxa"/>
            <w:shd w:val="clear" w:color="auto" w:fill="C0C0C0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53" w:type="dxa"/>
            <w:shd w:val="clear" w:color="auto" w:fill="C0C0C0"/>
          </w:tcPr>
          <w:p>
            <w:pPr>
              <w:pStyle w:val="TableParagraph"/>
              <w:ind w:right="5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58.293,59</w:t>
            </w:r>
          </w:p>
        </w:tc>
        <w:tc>
          <w:tcPr>
            <w:tcW w:w="1544" w:type="dxa"/>
            <w:shd w:val="clear" w:color="auto" w:fill="C0C0C0"/>
          </w:tcPr>
          <w:p>
            <w:pPr>
              <w:pStyle w:val="TableParagraph"/>
              <w:ind w:right="4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51.977,28</w:t>
            </w:r>
          </w:p>
        </w:tc>
        <w:tc>
          <w:tcPr>
            <w:tcW w:w="1548" w:type="dxa"/>
            <w:shd w:val="clear" w:color="auto" w:fill="C0C0C0"/>
          </w:tcPr>
          <w:p>
            <w:pPr>
              <w:pStyle w:val="TableParagraph"/>
              <w:ind w:right="4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51.977,28</w:t>
            </w:r>
          </w:p>
        </w:tc>
        <w:tc>
          <w:tcPr>
            <w:tcW w:w="1549" w:type="dxa"/>
            <w:shd w:val="clear" w:color="auto" w:fill="C0C0C0"/>
          </w:tcPr>
          <w:p>
            <w:pPr>
              <w:pStyle w:val="TableParagraph"/>
              <w:ind w:right="48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4.816,31</w:t>
            </w:r>
          </w:p>
        </w:tc>
        <w:tc>
          <w:tcPr>
            <w:tcW w:w="1371" w:type="dxa"/>
            <w:shd w:val="clear" w:color="auto" w:fill="C0C0C0"/>
          </w:tcPr>
          <w:p>
            <w:pPr>
              <w:pStyle w:val="TableParagraph"/>
              <w:ind w:right="48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1.500,00</w:t>
            </w:r>
          </w:p>
        </w:tc>
      </w:tr>
    </w:tbl>
    <w:p>
      <w:pPr>
        <w:pStyle w:val="BodyText"/>
        <w:spacing w:before="6" w:after="1"/>
        <w:rPr>
          <w:rFonts w:ascii="Times New Roman"/>
          <w:sz w:val="23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0"/>
        <w:gridCol w:w="1544"/>
        <w:gridCol w:w="1553"/>
        <w:gridCol w:w="1544"/>
        <w:gridCol w:w="1548"/>
        <w:gridCol w:w="1549"/>
      </w:tblGrid>
      <w:tr>
        <w:trPr>
          <w:trHeight w:val="270" w:hRule="atLeast"/>
        </w:trPr>
        <w:tc>
          <w:tcPr>
            <w:tcW w:w="11598" w:type="dxa"/>
            <w:gridSpan w:val="6"/>
            <w:shd w:val="clear" w:color="auto" w:fill="C0C0C0"/>
          </w:tcPr>
          <w:p>
            <w:pPr>
              <w:pStyle w:val="TableParagraph"/>
              <w:spacing w:before="57"/>
              <w:ind w:left="3872" w:right="38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QUADRO DA EXECUÇÃO DOS RESTOS A PAGAR PROCESSADOS</w:t>
            </w:r>
          </w:p>
        </w:tc>
      </w:tr>
      <w:tr>
        <w:trPr>
          <w:trHeight w:val="270" w:hRule="atLeast"/>
        </w:trPr>
        <w:tc>
          <w:tcPr>
            <w:tcW w:w="3860" w:type="dxa"/>
            <w:vMerge w:val="restart"/>
            <w:shd w:val="clear" w:color="auto" w:fill="C0C0C0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911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RESTOS A PAGAR PROCESSADOS</w:t>
            </w:r>
          </w:p>
        </w:tc>
        <w:tc>
          <w:tcPr>
            <w:tcW w:w="3097" w:type="dxa"/>
            <w:gridSpan w:val="2"/>
            <w:shd w:val="clear" w:color="auto" w:fill="C0C0C0"/>
          </w:tcPr>
          <w:p>
            <w:pPr>
              <w:pStyle w:val="TableParagraph"/>
              <w:ind w:left="1281" w:right="12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Inscritos</w:t>
            </w:r>
          </w:p>
        </w:tc>
        <w:tc>
          <w:tcPr>
            <w:tcW w:w="1544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4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49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2" w:hRule="atLeast"/>
        </w:trPr>
        <w:tc>
          <w:tcPr>
            <w:tcW w:w="3860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left="366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Em Exercícios</w:t>
            </w:r>
          </w:p>
        </w:tc>
        <w:tc>
          <w:tcPr>
            <w:tcW w:w="1553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left="517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Em 31 de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57"/>
              <w:ind w:left="577" w:right="5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Pagos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57"/>
              <w:ind w:left="442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Cancelados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57"/>
              <w:ind w:left="585" w:right="5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</w:p>
        </w:tc>
      </w:tr>
      <w:tr>
        <w:trPr>
          <w:trHeight w:val="270" w:hRule="atLeast"/>
        </w:trPr>
        <w:tc>
          <w:tcPr>
            <w:tcW w:w="3860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64"/>
              <w:ind w:left="480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Anteriores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64"/>
              <w:ind w:right="220"/>
              <w:rPr>
                <w:b/>
                <w:sz w:val="12"/>
              </w:rPr>
            </w:pPr>
            <w:r>
              <w:rPr>
                <w:b/>
                <w:sz w:val="12"/>
              </w:rPr>
              <w:t>Dezembro de 2018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38" w:hRule="atLeast"/>
        </w:trPr>
        <w:tc>
          <w:tcPr>
            <w:tcW w:w="3860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64"/>
              <w:ind w:left="576" w:right="546"/>
              <w:jc w:val="center"/>
              <w:rPr>
                <w:sz w:val="12"/>
              </w:rPr>
            </w:pPr>
            <w:r>
              <w:rPr>
                <w:sz w:val="12"/>
              </w:rPr>
              <w:t>(a)</w:t>
            </w:r>
          </w:p>
        </w:tc>
        <w:tc>
          <w:tcPr>
            <w:tcW w:w="1553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64"/>
              <w:ind w:left="687" w:right="658"/>
              <w:jc w:val="center"/>
              <w:rPr>
                <w:sz w:val="12"/>
              </w:rPr>
            </w:pPr>
            <w:r>
              <w:rPr>
                <w:sz w:val="12"/>
              </w:rPr>
              <w:t>(b)</w:t>
            </w:r>
          </w:p>
        </w:tc>
        <w:tc>
          <w:tcPr>
            <w:tcW w:w="1544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35"/>
              <w:ind w:left="577" w:right="546"/>
              <w:jc w:val="center"/>
              <w:rPr>
                <w:sz w:val="12"/>
              </w:rPr>
            </w:pPr>
            <w:r>
              <w:rPr>
                <w:sz w:val="12"/>
              </w:rPr>
              <w:t>(c)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35"/>
              <w:ind w:left="578" w:right="546"/>
              <w:jc w:val="center"/>
              <w:rPr>
                <w:sz w:val="12"/>
              </w:rPr>
            </w:pPr>
            <w:r>
              <w:rPr>
                <w:sz w:val="12"/>
              </w:rPr>
              <w:t>(d)</w:t>
            </w:r>
          </w:p>
        </w:tc>
        <w:tc>
          <w:tcPr>
            <w:tcW w:w="1549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35"/>
              <w:ind w:left="392" w:right="0"/>
              <w:jc w:val="left"/>
              <w:rPr>
                <w:sz w:val="12"/>
              </w:rPr>
            </w:pPr>
            <w:r>
              <w:rPr>
                <w:sz w:val="12"/>
              </w:rPr>
              <w:t>(e) = (a+b-c-d)</w:t>
            </w:r>
          </w:p>
        </w:tc>
      </w:tr>
      <w:tr>
        <w:trPr>
          <w:trHeight w:val="280" w:hRule="atLeast"/>
        </w:trPr>
        <w:tc>
          <w:tcPr>
            <w:tcW w:w="3860" w:type="dxa"/>
            <w:tcBorders>
              <w:bottom w:val="nil"/>
            </w:tcBorders>
          </w:tcPr>
          <w:p>
            <w:pPr>
              <w:pStyle w:val="TableParagraph"/>
              <w:ind w:left="26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Despesas Correntes (I)</w:t>
            </w:r>
          </w:p>
        </w:tc>
        <w:tc>
          <w:tcPr>
            <w:tcW w:w="1544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53" w:type="dxa"/>
            <w:tcBorders>
              <w:bottom w:val="nil"/>
            </w:tcBorders>
          </w:tcPr>
          <w:p>
            <w:pPr>
              <w:pStyle w:val="TableParagraph"/>
              <w:ind w:right="220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4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bottom w:val="nil"/>
            </w:tcBorders>
          </w:tcPr>
          <w:p>
            <w:pPr>
              <w:pStyle w:val="TableParagraph"/>
              <w:ind w:right="216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  <w:tr>
        <w:trPr>
          <w:trHeight w:val="293" w:hRule="atLeast"/>
        </w:trPr>
        <w:tc>
          <w:tcPr>
            <w:tcW w:w="3860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013"/>
              <w:rPr>
                <w:sz w:val="12"/>
              </w:rPr>
            </w:pPr>
            <w:r>
              <w:rPr>
                <w:sz w:val="12"/>
              </w:rPr>
              <w:t>Pessoal e Encargos Sociais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20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38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028"/>
              <w:rPr>
                <w:sz w:val="12"/>
              </w:rPr>
            </w:pPr>
            <w:r>
              <w:rPr>
                <w:sz w:val="12"/>
              </w:rPr>
              <w:t>Juros e Encargos da Dívida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20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860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015"/>
              <w:rPr>
                <w:sz w:val="12"/>
              </w:rPr>
            </w:pPr>
            <w:r>
              <w:rPr>
                <w:sz w:val="12"/>
              </w:rPr>
              <w:t>Outras Despesas Correntes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20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38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26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Despesas de Capital (II)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20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6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860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left="328" w:right="0"/>
              <w:jc w:val="left"/>
              <w:rPr>
                <w:sz w:val="12"/>
              </w:rPr>
            </w:pPr>
            <w:r>
              <w:rPr>
                <w:sz w:val="12"/>
              </w:rPr>
              <w:t>Investimentos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20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38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328" w:right="0"/>
              <w:jc w:val="left"/>
              <w:rPr>
                <w:sz w:val="12"/>
              </w:rPr>
            </w:pPr>
            <w:r>
              <w:rPr>
                <w:sz w:val="12"/>
              </w:rPr>
              <w:t>Inversões Financeiras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20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3860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106"/>
              <w:ind w:left="328" w:right="0"/>
              <w:jc w:val="left"/>
              <w:rPr>
                <w:sz w:val="12"/>
              </w:rPr>
            </w:pPr>
            <w:r>
              <w:rPr>
                <w:sz w:val="12"/>
              </w:rPr>
              <w:t>Amortização da Dívida</w:t>
            </w:r>
          </w:p>
        </w:tc>
        <w:tc>
          <w:tcPr>
            <w:tcW w:w="1544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10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53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20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4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10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10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3860" w:type="dxa"/>
          </w:tcPr>
          <w:p>
            <w:pPr>
              <w:pStyle w:val="TableParagraph"/>
              <w:ind w:left="26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 (III) = (I + II)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53" w:type="dxa"/>
          </w:tcPr>
          <w:p>
            <w:pPr>
              <w:pStyle w:val="TableParagraph"/>
              <w:ind w:right="220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9" w:type="dxa"/>
          </w:tcPr>
          <w:p>
            <w:pPr>
              <w:pStyle w:val="TableParagraph"/>
              <w:ind w:right="216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11598" w:type="dxa"/>
            <w:gridSpan w:val="6"/>
            <w:tcBorders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ind w:left="230" w:right="0"/>
              <w:jc w:val="left"/>
              <w:rPr>
                <w:sz w:val="12"/>
              </w:rPr>
            </w:pPr>
            <w:r>
              <w:rPr>
                <w:sz w:val="12"/>
              </w:rPr>
              <w:t>As Receitas e Despesas Intraorçamentárias não foram consideradas para computo dos valores deste anexo</w:t>
            </w:r>
          </w:p>
        </w:tc>
      </w:tr>
    </w:tbl>
    <w:sectPr>
      <w:pgSz w:w="16840" w:h="11910" w:orient="landscape"/>
      <w:pgMar w:header="631" w:footer="628" w:top="1400" w:bottom="820" w:left="46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8.280001pt;margin-top:552.919983pt;width:342.85pt;height:13.05pt;mso-position-horizontal-relative:page;mso-position-vertical-relative:page;z-index:-25298944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PRONIM CP - Emissão: 19/02/2020 às 12h48min - Duração: 0h00m26seg (1)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8.880005pt;margin-top:30.560007pt;width:64.8pt;height:13.05pt;mso-position-horizontal-relative:page;mso-position-vertical-relative:page;z-index:-25299660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Página: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sz w:val="22"/>
                  </w:rPr>
                  <w:t> de 3</w:t>
                </w:r>
              </w:p>
            </w:txbxContent>
          </v:textbox>
          <w10:wrap type="none"/>
        </v:shape>
      </w:pict>
    </w:r>
    <w:r>
      <w:rPr/>
      <w:pict>
        <v:shape style="position:absolute;margin-left:29.120001pt;margin-top:33.288368pt;width:61.5pt;height:8.75pt;mso-position-horizontal-relative:page;mso-position-vertical-relative:page;z-index:-25299558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Município: CANGUÇU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.010010pt;margin-top:33.288368pt;width:112.25pt;height:8.75pt;mso-position-horizontal-relative:page;mso-position-vertical-relative:page;z-index:-252994560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UF: ESTADO DO RIO GRANDE DO SUL</w:t>
                </w:r>
              </w:p>
            </w:txbxContent>
          </v:textbox>
          <w10:wrap type="none"/>
        </v:shape>
      </w:pict>
    </w:r>
    <w:r>
      <w:rPr/>
      <w:pict>
        <v:shape style="position:absolute;margin-left:29.120001pt;margin-top:47.808365pt;width:74.650pt;height:8.75pt;mso-position-horizontal-relative:page;mso-position-vertical-relative:page;z-index:-252993536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Período: Exercício de 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6.769989pt;margin-top:47.808365pt;width:82.75pt;height:8.75pt;mso-position-horizontal-relative:page;mso-position-vertical-relative:page;z-index:-25299251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sz w:val="12"/>
                  </w:rPr>
                  <w:t>BALANÇO ORÇAMENTÁRIO</w:t>
                </w:r>
              </w:p>
            </w:txbxContent>
          </v:textbox>
          <w10:wrap type="none"/>
        </v:shape>
      </w:pict>
    </w:r>
    <w:r>
      <w:rPr/>
      <w:pict>
        <v:shape style="position:absolute;margin-left:29.120001pt;margin-top:62.328365pt;width:182.55pt;height:8.75pt;mso-position-horizontal-relative:page;mso-position-vertical-relative:page;z-index:-25299148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Unidade Gestora: 0001 - CÂMARA MUNICIPAL DE VEREADORES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290009pt;margin-top:62.328365pt;width:149.550pt;height:8.75pt;mso-position-horizontal-relative:page;mso-position-vertical-relative:page;z-index:-25299046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sz w:val="12"/>
                  </w:rPr>
                  <w:t>ORÇAMENTOS</w:t>
                </w:r>
                <w:r>
                  <w:rPr>
                    <w:b/>
                    <w:spacing w:val="-6"/>
                    <w:sz w:val="12"/>
                  </w:rPr>
                  <w:t> </w:t>
                </w:r>
                <w:r>
                  <w:rPr>
                    <w:b/>
                    <w:sz w:val="12"/>
                  </w:rPr>
                  <w:t>FISCAL</w:t>
                </w:r>
                <w:r>
                  <w:rPr>
                    <w:b/>
                    <w:spacing w:val="-4"/>
                    <w:sz w:val="12"/>
                  </w:rPr>
                  <w:t> </w:t>
                </w:r>
                <w:r>
                  <w:rPr>
                    <w:b/>
                    <w:sz w:val="12"/>
                  </w:rPr>
                  <w:t>E</w:t>
                </w:r>
                <w:r>
                  <w:rPr>
                    <w:b/>
                    <w:spacing w:val="-5"/>
                    <w:sz w:val="12"/>
                  </w:rPr>
                  <w:t> </w:t>
                </w:r>
                <w:r>
                  <w:rPr>
                    <w:b/>
                    <w:sz w:val="12"/>
                  </w:rPr>
                  <w:t>DA</w:t>
                </w:r>
                <w:r>
                  <w:rPr>
                    <w:b/>
                    <w:spacing w:val="-7"/>
                    <w:sz w:val="12"/>
                  </w:rPr>
                  <w:t> </w:t>
                </w:r>
                <w:r>
                  <w:rPr>
                    <w:b/>
                    <w:sz w:val="12"/>
                  </w:rPr>
                  <w:t>SEGURIDADE</w:t>
                </w:r>
                <w:r>
                  <w:rPr>
                    <w:b/>
                    <w:spacing w:val="-6"/>
                    <w:sz w:val="12"/>
                  </w:rPr>
                  <w:t> </w:t>
                </w:r>
                <w:r>
                  <w:rPr>
                    <w:b/>
                    <w:sz w:val="12"/>
                  </w:rPr>
                  <w:t>SOCIAL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>
      <w:spacing w:before="16"/>
    </w:pPr>
    <w:rPr>
      <w:rFonts w:ascii="Arial" w:hAnsi="Arial" w:eastAsia="Arial" w:cs="Arial"/>
      <w:sz w:val="12"/>
      <w:szCs w:val="12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before="96"/>
      <w:ind w:right="215"/>
      <w:jc w:val="right"/>
    </w:pPr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2020-06-03T12:44:20Z</dcterms:created>
  <dcterms:modified xsi:type="dcterms:W3CDTF">2020-06-03T12:44:20Z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2020-06-03T00:00:00Z</vt:filetime>
  </property>
</Properties>
</file>