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4798" w:val="left" w:leader="none"/>
        </w:tabs>
      </w:pPr>
      <w:r>
        <w:rPr/>
        <w:pict>
          <v:shape style="width:193.3pt;height:3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6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866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127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Município: CANGUÇU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866" w:type="dxa"/>
                      </w:tcPr>
                      <w:p>
                        <w:pPr>
                          <w:pStyle w:val="TableParagraph"/>
                          <w:spacing w:before="74"/>
                          <w:ind w:left="127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Período: Exercício de 2016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866" w:type="dxa"/>
                      </w:tcPr>
                      <w:p>
                        <w:pPr>
                          <w:pStyle w:val="TableParagraph"/>
                          <w:spacing w:line="118" w:lineRule="exact" w:before="74"/>
                          <w:ind w:left="127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Unidade Gestora: 0001 - CÂMARA MUNICIPAL DE VEREADORES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/>
        <w:pict>
          <v:shape style="width:160.3pt;height:3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06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206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96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UF: ESTADO DO RIO GRANDE DO SUL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206" w:type="dxa"/>
                      </w:tcPr>
                      <w:p>
                        <w:pPr>
                          <w:pStyle w:val="TableParagraph"/>
                          <w:spacing w:before="74"/>
                          <w:ind w:left="96" w:right="9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BALANÇO ORÇAMENTÁRIO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206" w:type="dxa"/>
                      </w:tcPr>
                      <w:p>
                        <w:pPr>
                          <w:pStyle w:val="TableParagraph"/>
                          <w:spacing w:line="118" w:lineRule="exact" w:before="74"/>
                          <w:ind w:left="96" w:right="9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ORÇAMENTOS FISCAL E DA SEGURIDADE SOCIAL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jc w:val="left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1548"/>
        <w:gridCol w:w="1548"/>
        <w:gridCol w:w="1548"/>
        <w:gridCol w:w="1549"/>
      </w:tblGrid>
      <w:tr>
        <w:trPr>
          <w:trHeight w:val="273" w:hRule="atLeast"/>
        </w:trPr>
        <w:tc>
          <w:tcPr>
            <w:tcW w:w="3855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2"/>
              <w:ind w:left="1099" w:right="0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99" w:right="5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84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82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8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70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Realizadas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2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16" w:right="0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Recursos Arrecadados em Exercícios Anteriores (I)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855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2"/>
              <w:ind w:left="1099" w:right="0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99" w:right="56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84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82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8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70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Realizadas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2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16" w:right="0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RECEITAS (II) = (I)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55" w:type="dxa"/>
            <w:tcBorders>
              <w:bottom w:val="nil"/>
            </w:tcBorders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Operações de Crédito / Refinanciamento (III)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Internas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Externas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(IV) = (II + III)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 w:right="0"/>
              <w:jc w:val="left"/>
              <w:rPr>
                <w:sz w:val="12"/>
              </w:rPr>
            </w:pPr>
            <w:r>
              <w:rPr>
                <w:sz w:val="12"/>
              </w:rPr>
              <w:t>Déficit (V)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3.962.379,50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(VI) = (IV + V)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3.962.379,50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left="77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3.962.379,50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Saldos de Exercícios Anteriores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(Utilizados Para Créditos Adicionais)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177" w:right="0"/>
              <w:jc w:val="left"/>
              <w:rPr>
                <w:sz w:val="12"/>
              </w:rPr>
            </w:pPr>
            <w:r>
              <w:rPr>
                <w:sz w:val="12"/>
              </w:rPr>
              <w:t>Superávit Financeiro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85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177" w:right="0"/>
              <w:jc w:val="left"/>
              <w:rPr>
                <w:sz w:val="12"/>
              </w:rPr>
            </w:pPr>
            <w:r>
              <w:rPr>
                <w:sz w:val="12"/>
              </w:rPr>
              <w:t>Reabertura de Créditos Adicionais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488" w:footer="630" w:top="680" w:bottom="820" w:left="360" w:right="2420"/>
          <w:pgNumType w:start="1"/>
        </w:sectPr>
      </w:pPr>
    </w:p>
    <w:p>
      <w:pPr>
        <w:tabs>
          <w:tab w:pos="4801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93pt;height:3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59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859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124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Município: CANGUÇU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859" w:type="dxa"/>
                      </w:tcPr>
                      <w:p>
                        <w:pPr>
                          <w:pStyle w:val="TableParagraph"/>
                          <w:spacing w:before="74"/>
                          <w:ind w:left="124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Período: Exercício de 2016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859" w:type="dxa"/>
                      </w:tcPr>
                      <w:p>
                        <w:pPr>
                          <w:pStyle w:val="TableParagraph"/>
                          <w:spacing w:line="118" w:lineRule="exact" w:before="74"/>
                          <w:ind w:left="124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Unidade Gestora: 0001 - CÂMARA MUNICIPAL DE VEREADORES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60pt;height:3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99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199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92" w:right="8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UF: ESTADO DO RIO GRANDE DO SUL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199" w:type="dxa"/>
                      </w:tcPr>
                      <w:p>
                        <w:pPr>
                          <w:pStyle w:val="TableParagraph"/>
                          <w:spacing w:before="74"/>
                          <w:ind w:left="92" w:right="8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BALANÇO ORÇAMENTÁRIO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199" w:type="dxa"/>
                      </w:tcPr>
                      <w:p>
                        <w:pPr>
                          <w:pStyle w:val="TableParagraph"/>
                          <w:spacing w:line="118" w:lineRule="exact" w:before="74"/>
                          <w:ind w:left="92" w:right="9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ORÇAMENTOS FISCAL E DA SEGURIDADE SOCIAL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jc w:val="left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1548"/>
        <w:gridCol w:w="1548"/>
        <w:gridCol w:w="1548"/>
        <w:gridCol w:w="1549"/>
        <w:gridCol w:w="1548"/>
        <w:gridCol w:w="1370"/>
      </w:tblGrid>
      <w:tr>
        <w:trPr>
          <w:trHeight w:val="273" w:hRule="atLeast"/>
        </w:trPr>
        <w:tc>
          <w:tcPr>
            <w:tcW w:w="3855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2"/>
              <w:ind w:left="1077" w:right="0"/>
              <w:jc w:val="left"/>
              <w:rPr>
                <w:sz w:val="12"/>
              </w:rPr>
            </w:pPr>
            <w:r>
              <w:rPr>
                <w:sz w:val="12"/>
              </w:rPr>
              <w:t>DESPESAS ORÇAMENTÁRIAS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44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44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01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01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01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441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 da</w:t>
            </w:r>
          </w:p>
        </w:tc>
      </w:tr>
      <w:tr>
        <w:trPr>
          <w:trHeight w:val="284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82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8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10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Empenhadas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63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Liquidadas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79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Pagas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5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</w:tr>
      <w:tr>
        <w:trPr>
          <w:trHeight w:val="253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(f)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(g)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96" w:right="562"/>
              <w:jc w:val="center"/>
              <w:rPr>
                <w:sz w:val="12"/>
              </w:rPr>
            </w:pPr>
            <w:r>
              <w:rPr>
                <w:sz w:val="12"/>
              </w:rPr>
              <w:t>(h)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(i)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460" w:right="0"/>
              <w:jc w:val="left"/>
              <w:rPr>
                <w:sz w:val="12"/>
              </w:rPr>
            </w:pPr>
            <w:r>
              <w:rPr>
                <w:sz w:val="12"/>
              </w:rPr>
              <w:t>(j) = (f-g)</w:t>
            </w:r>
          </w:p>
        </w:tc>
      </w:tr>
      <w:tr>
        <w:trPr>
          <w:trHeight w:val="282" w:hRule="atLeast"/>
        </w:trPr>
        <w:tc>
          <w:tcPr>
            <w:tcW w:w="385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(VII)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4.087.810,23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4.155.575,51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3.803.472,70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3.702.122,94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3.702.122,94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352.102,81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3.247.810,23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3.115.575,51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2.988.335,97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2.988.335,97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2.988.335,97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127.239,54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2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APLICAÇÕES DIRETAS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3.247.810,23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3.115.575,51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2.988.335,97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2.988.335,97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2.988.335,97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127.239,54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840.000,00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1.040.000,00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815.136,73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713.786,97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713.786,97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224.863,27</w:t>
            </w:r>
          </w:p>
        </w:tc>
      </w:tr>
      <w:tr>
        <w:trPr>
          <w:trHeight w:val="293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2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APLICAÇÕES DIRETAS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840.000,00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1.040.000,00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815.136,73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713.786,97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713.786,97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224.863,27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(VIII)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625.881,03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245.066,16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158.906,80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158.906,80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158.906,80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86.159,36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625.881,03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245.066,16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158.906,80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158.906,80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158.906,80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86.159,36</w:t>
            </w:r>
          </w:p>
        </w:tc>
      </w:tr>
      <w:tr>
        <w:trPr>
          <w:trHeight w:val="28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APLICAÇÕES DIRETAS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625.881,03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245.066,16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158.906,80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158.906,80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158.906,80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86.159,36</w:t>
            </w:r>
          </w:p>
        </w:tc>
      </w:tr>
      <w:tr>
        <w:trPr>
          <w:trHeight w:val="280" w:hRule="atLeast"/>
        </w:trPr>
        <w:tc>
          <w:tcPr>
            <w:tcW w:w="3855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Reserva do RPPS (IX)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DESPESAS (X) = (VIII + IX)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4.713.691,26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4.400.641,67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3.962.379,50</w:t>
            </w:r>
          </w:p>
        </w:tc>
        <w:tc>
          <w:tcPr>
            <w:tcW w:w="1549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3.861.029,74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3.861.029,74</w:t>
            </w:r>
          </w:p>
        </w:tc>
        <w:tc>
          <w:tcPr>
            <w:tcW w:w="1370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438.262,17</w:t>
            </w:r>
          </w:p>
        </w:tc>
      </w:tr>
      <w:tr>
        <w:trPr>
          <w:trHeight w:val="282" w:hRule="atLeast"/>
        </w:trPr>
        <w:tc>
          <w:tcPr>
            <w:tcW w:w="385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Amortização da Dívida / Refinanciamento (XI)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Interna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3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20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Externa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55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 w:right="0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(XII) = (X + XI)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4.713.691,26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4.400.641,67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3.962.379,50</w:t>
            </w:r>
          </w:p>
        </w:tc>
        <w:tc>
          <w:tcPr>
            <w:tcW w:w="1549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3.861.029,74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3.861.029,74</w:t>
            </w:r>
          </w:p>
        </w:tc>
        <w:tc>
          <w:tcPr>
            <w:tcW w:w="1370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438.262,17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sz w:val="12"/>
              </w:rPr>
            </w:pPr>
            <w:r>
              <w:rPr>
                <w:sz w:val="12"/>
              </w:rPr>
              <w:t>Superávit (XIII)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0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3855" w:type="dxa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(XIV) = (XII + XIII)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4.713.691,26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4.400.641,67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3.962.379,50</w:t>
            </w:r>
          </w:p>
        </w:tc>
        <w:tc>
          <w:tcPr>
            <w:tcW w:w="1549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3.861.029,74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3.861.029,74</w:t>
            </w:r>
          </w:p>
        </w:tc>
        <w:tc>
          <w:tcPr>
            <w:tcW w:w="1370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438.262,17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488" w:footer="630" w:top="680" w:bottom="820" w:left="360" w:right="2420"/>
        </w:sectPr>
      </w:pPr>
    </w:p>
    <w:p>
      <w:pPr>
        <w:tabs>
          <w:tab w:pos="4800" w:val="left" w:leader="none"/>
        </w:tabs>
        <w:spacing w:line="240" w:lineRule="auto"/>
        <w:ind w:left="1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93.1pt;height:3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1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861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125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Município: CANGUÇU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861" w:type="dxa"/>
                      </w:tcPr>
                      <w:p>
                        <w:pPr>
                          <w:pStyle w:val="TableParagraph"/>
                          <w:spacing w:before="74"/>
                          <w:ind w:left="125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Período: Exercício de 2016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861" w:type="dxa"/>
                      </w:tcPr>
                      <w:p>
                        <w:pPr>
                          <w:pStyle w:val="TableParagraph"/>
                          <w:spacing w:line="118" w:lineRule="exact" w:before="74"/>
                          <w:ind w:left="125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Unidade Gestora: 0001 - CÂMARA MUNICIPAL DE VEREADORES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60.1pt;height:3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01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201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93" w:right="9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UF: ESTADO DO RIO GRANDE DO SUL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201" w:type="dxa"/>
                      </w:tcPr>
                      <w:p>
                        <w:pPr>
                          <w:pStyle w:val="TableParagraph"/>
                          <w:spacing w:before="74"/>
                          <w:ind w:left="93" w:right="9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BALANÇO ORÇAMENTÁRIO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201" w:type="dxa"/>
                      </w:tcPr>
                      <w:p>
                        <w:pPr>
                          <w:pStyle w:val="TableParagraph"/>
                          <w:spacing w:line="118" w:lineRule="exact" w:before="74"/>
                          <w:ind w:left="93" w:right="9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ORÇAMENTOS FISCAL E DA SEGURIDADE SOCIAL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jc w:val="left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543"/>
        <w:gridCol w:w="1553"/>
        <w:gridCol w:w="1543"/>
        <w:gridCol w:w="1548"/>
        <w:gridCol w:w="1547"/>
        <w:gridCol w:w="1369"/>
      </w:tblGrid>
      <w:tr>
        <w:trPr>
          <w:trHeight w:val="270" w:hRule="atLeast"/>
        </w:trPr>
        <w:tc>
          <w:tcPr>
            <w:tcW w:w="12963" w:type="dxa"/>
            <w:gridSpan w:val="7"/>
            <w:shd w:val="clear" w:color="auto" w:fill="C0C0C0"/>
          </w:tcPr>
          <w:p>
            <w:pPr>
              <w:pStyle w:val="TableParagraph"/>
              <w:spacing w:before="58"/>
              <w:ind w:left="4412" w:right="43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DE EXECUÇÃO DOS RESTOS A PAGAR NÃO PROCESSADOS</w:t>
            </w:r>
          </w:p>
        </w:tc>
      </w:tr>
      <w:tr>
        <w:trPr>
          <w:trHeight w:val="270" w:hRule="atLeast"/>
        </w:trPr>
        <w:tc>
          <w:tcPr>
            <w:tcW w:w="3860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2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NÃO PROCESSADOS</w:t>
            </w:r>
          </w:p>
        </w:tc>
        <w:tc>
          <w:tcPr>
            <w:tcW w:w="3096" w:type="dxa"/>
            <w:gridSpan w:val="2"/>
            <w:shd w:val="clear" w:color="auto" w:fill="C0C0C0"/>
          </w:tcPr>
          <w:p>
            <w:pPr>
              <w:pStyle w:val="TableParagraph"/>
              <w:ind w:left="1281" w:right="12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36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518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455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Liquidados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582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444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</w:tc>
        <w:tc>
          <w:tcPr>
            <w:tcW w:w="136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right="253"/>
              <w:rPr>
                <w:b/>
                <w:sz w:val="12"/>
              </w:rPr>
            </w:pPr>
            <w:r>
              <w:rPr>
                <w:b/>
                <w:sz w:val="12"/>
              </w:rPr>
              <w:t>Saldo à Pagar</w:t>
            </w:r>
          </w:p>
        </w:tc>
      </w:tr>
      <w:tr>
        <w:trPr>
          <w:trHeight w:val="270" w:hRule="atLeast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79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Anteriores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254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2015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74" w:right="544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688" w:right="658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577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598" w:right="560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right="276"/>
              <w:rPr>
                <w:sz w:val="12"/>
              </w:rPr>
            </w:pPr>
            <w:r>
              <w:rPr>
                <w:sz w:val="12"/>
              </w:rPr>
              <w:t>(f) = (a+b-d-e)</w:t>
            </w:r>
          </w:p>
        </w:tc>
      </w:tr>
      <w:tr>
        <w:trPr>
          <w:trHeight w:val="280" w:hRule="atLeast"/>
        </w:trPr>
        <w:tc>
          <w:tcPr>
            <w:tcW w:w="3860" w:type="dxa"/>
            <w:tcBorders>
              <w:bottom w:val="nil"/>
            </w:tcBorders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TableParagraph"/>
              <w:ind w:right="5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54.825,26</w:t>
            </w:r>
          </w:p>
        </w:tc>
        <w:tc>
          <w:tcPr>
            <w:tcW w:w="1543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54.825,26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54.825,26</w:t>
            </w:r>
          </w:p>
        </w:tc>
        <w:tc>
          <w:tcPr>
            <w:tcW w:w="1547" w:type="dxa"/>
            <w:tcBorders>
              <w:bottom w:val="nil"/>
            </w:tcBorders>
          </w:tcPr>
          <w:p>
            <w:pPr>
              <w:pStyle w:val="TableParagraph"/>
              <w:ind w:right="212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ind w:right="211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013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1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028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1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015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51"/>
              <w:rPr>
                <w:sz w:val="12"/>
              </w:rPr>
            </w:pPr>
            <w:r>
              <w:rPr>
                <w:w w:val="95"/>
                <w:sz w:val="12"/>
              </w:rPr>
              <w:t>54.825,26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54.825,26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54.825,26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1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9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2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1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1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1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1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(III) = (I + II)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</w:tcPr>
          <w:p>
            <w:pPr>
              <w:pStyle w:val="TableParagraph"/>
              <w:ind w:right="5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54.825,26</w:t>
            </w:r>
          </w:p>
        </w:tc>
        <w:tc>
          <w:tcPr>
            <w:tcW w:w="1543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54.825,26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54.825,26</w:t>
            </w:r>
          </w:p>
        </w:tc>
        <w:tc>
          <w:tcPr>
            <w:tcW w:w="1547" w:type="dxa"/>
          </w:tcPr>
          <w:p>
            <w:pPr>
              <w:pStyle w:val="TableParagraph"/>
              <w:ind w:right="212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69" w:type="dxa"/>
          </w:tcPr>
          <w:p>
            <w:pPr>
              <w:pStyle w:val="TableParagraph"/>
              <w:ind w:right="211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</w:tbl>
    <w:p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jc w:val="left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543"/>
        <w:gridCol w:w="1553"/>
        <w:gridCol w:w="1543"/>
        <w:gridCol w:w="1548"/>
        <w:gridCol w:w="1547"/>
      </w:tblGrid>
      <w:tr>
        <w:trPr>
          <w:trHeight w:val="270" w:hRule="atLeast"/>
        </w:trPr>
        <w:tc>
          <w:tcPr>
            <w:tcW w:w="11594" w:type="dxa"/>
            <w:gridSpan w:val="6"/>
            <w:shd w:val="clear" w:color="auto" w:fill="C0C0C0"/>
          </w:tcPr>
          <w:p>
            <w:pPr>
              <w:pStyle w:val="TableParagraph"/>
              <w:spacing w:before="58"/>
              <w:ind w:left="2232" w:right="219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DA EXECUÇÃO DOS RESTOS A PAGAR PROCESSADOS E RESTOS A PAGAR NÃO PROCESSADOS LIQUIDADOS</w:t>
            </w:r>
          </w:p>
        </w:tc>
      </w:tr>
      <w:tr>
        <w:trPr>
          <w:trHeight w:val="270" w:hRule="atLeast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96" w:type="dxa"/>
            <w:gridSpan w:val="2"/>
            <w:shd w:val="clear" w:color="auto" w:fill="C0C0C0"/>
          </w:tcPr>
          <w:p>
            <w:pPr>
              <w:pStyle w:val="TableParagraph"/>
              <w:ind w:left="1281" w:right="12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4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81"/>
              <w:ind w:left="911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PROCESSADOS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36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518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577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444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600" w:right="5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97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31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 RESTOS A PAGAR NÃO PROCESSADOS LIQUIDADOS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81"/>
              <w:ind w:left="479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Anteriores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81"/>
              <w:ind w:right="219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2015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4"/>
              <w:ind w:left="574" w:right="544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4"/>
              <w:ind w:left="688" w:right="658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45"/>
              <w:ind w:left="577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45"/>
              <w:ind w:left="579" w:right="544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45"/>
              <w:ind w:left="411" w:right="0"/>
              <w:jc w:val="left"/>
              <w:rPr>
                <w:sz w:val="12"/>
              </w:rPr>
            </w:pPr>
            <w:r>
              <w:rPr>
                <w:sz w:val="12"/>
              </w:rPr>
              <w:t>(f) = (a+b-c-d)</w:t>
            </w:r>
          </w:p>
        </w:tc>
      </w:tr>
      <w:tr>
        <w:trPr>
          <w:trHeight w:val="282" w:hRule="atLeast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9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2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3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9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2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860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328" w:right="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3" w:type="dxa"/>
            <w:tcBorders>
              <w:top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</w:tcBorders>
          </w:tcPr>
          <w:p>
            <w:pPr>
              <w:pStyle w:val="TableParagraph"/>
              <w:spacing w:before="103"/>
              <w:ind w:right="219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3" w:type="dxa"/>
            <w:tcBorders>
              <w:top w:val="nil"/>
            </w:tcBorders>
          </w:tcPr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spacing w:before="103"/>
              <w:ind w:right="21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0" w:type="dxa"/>
            <w:shd w:val="clear" w:color="auto" w:fill="C0C0C0"/>
          </w:tcPr>
          <w:p>
            <w:pPr>
              <w:pStyle w:val="TableParagraph"/>
              <w:ind w:left="26" w:right="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(III) = (I + II)</w:t>
            </w:r>
          </w:p>
        </w:tc>
        <w:tc>
          <w:tcPr>
            <w:tcW w:w="1543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shd w:val="clear" w:color="auto" w:fill="C0C0C0"/>
          </w:tcPr>
          <w:p>
            <w:pPr>
              <w:pStyle w:val="TableParagraph"/>
              <w:ind w:right="219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3" w:type="dxa"/>
            <w:shd w:val="clear" w:color="auto" w:fill="C0C0C0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7" w:type="dxa"/>
            <w:shd w:val="clear" w:color="auto" w:fill="C0C0C0"/>
          </w:tcPr>
          <w:p>
            <w:pPr>
              <w:pStyle w:val="TableParagraph"/>
              <w:ind w:right="212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</w:tbl>
    <w:p>
      <w:pPr>
        <w:pStyle w:val="BodyText"/>
        <w:spacing w:before="96"/>
        <w:ind w:left="437"/>
      </w:pPr>
      <w:r>
        <w:rPr/>
        <w:t>As Receitas e Despesas Intraorçamentárias não foram consideradas para computo dos valores deste anexo</w:t>
      </w:r>
    </w:p>
    <w:sectPr>
      <w:pgSz w:w="16840" w:h="11910" w:orient="landscape"/>
      <w:pgMar w:header="488" w:footer="630" w:top="680" w:bottom="820" w:left="3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04001pt;margin-top:552.679993pt;width:325.75pt;height:13.05pt;mso-position-horizontal-relative:page;mso-position-vertical-relative:page;z-index:-253175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GOVBR CP - Emissão: 18/01/2021 às 9h3min - Duração: 0h00m36seg (9)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76001pt;margin-top:30.680012pt;width:64.8pt;height:13.05pt;mso-position-horizontal-relative:page;mso-position-vertical-relative:page;z-index:-253176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Página: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> de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96"/>
      <w:ind w:right="214"/>
      <w:jc w:val="right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2021-01-18T12:17:24Z</dcterms:created>
  <dcterms:modified xsi:type="dcterms:W3CDTF">2021-01-18T12:17:24Z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2021-01-18T00:00:00Z</vt:filetime>
  </property>
</Properties>
</file>