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723"/>
        <w:gridCol w:w="1396"/>
      </w:tblGrid>
      <w:tr>
        <w:trPr>
          <w:trHeight w:val="949" w:hRule="atLeast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left="5018"/>
              <w:rPr>
                <w:sz w:val="15"/>
              </w:rPr>
            </w:pPr>
            <w:r>
              <w:rPr>
                <w:w w:val="130"/>
                <w:sz w:val="15"/>
              </w:rPr>
              <w:t>INGRESSOS</w:t>
            </w:r>
          </w:p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75"/>
              <w:jc w:val="right"/>
              <w:rPr>
                <w:rFonts w:ascii="Verdana"/>
                <w:sz w:val="13"/>
              </w:rPr>
            </w:pPr>
            <w:r>
              <w:rPr>
                <w:rFonts w:ascii="Verdana"/>
                <w:w w:val="130"/>
                <w:sz w:val="13"/>
              </w:rPr>
              <w:t>Nota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14" w:lineRule="auto" w:before="100"/>
              <w:ind w:left="544" w:right="143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314" w:lineRule="auto" w:before="100"/>
              <w:ind w:left="285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2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1"/>
              <w:ind w:left="33"/>
              <w:rPr>
                <w:sz w:val="15"/>
              </w:rPr>
            </w:pPr>
            <w:r>
              <w:rPr>
                <w:w w:val="115"/>
                <w:sz w:val="15"/>
                <w:u w:val="single"/>
              </w:rPr>
              <w:t>Receita Orçamentária</w:t>
            </w:r>
            <w:r>
              <w:rPr>
                <w:spacing w:val="1"/>
                <w:w w:val="115"/>
                <w:sz w:val="15"/>
                <w:u w:val="single"/>
              </w:rPr>
              <w:t> </w:t>
            </w:r>
            <w:r>
              <w:rPr>
                <w:w w:val="115"/>
                <w:sz w:val="15"/>
                <w:u w:val="single"/>
              </w:rPr>
              <w:t>(I)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1"/>
              <w:ind w:right="2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0,00</w:t>
            </w:r>
          </w:p>
        </w:tc>
        <w:tc>
          <w:tcPr>
            <w:tcW w:w="13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Receitas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Correntes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8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(-)Deduções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Receita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90"/>
                <w:sz w:val="18"/>
              </w:rPr>
              <w:t>Receitas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Capital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1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(-)Deduções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Capital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8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w w:val="115"/>
                <w:sz w:val="15"/>
                <w:u w:val="single"/>
              </w:rPr>
              <w:t>Transferências</w:t>
            </w:r>
            <w:r>
              <w:rPr>
                <w:spacing w:val="9"/>
                <w:w w:val="115"/>
                <w:sz w:val="15"/>
                <w:u w:val="single"/>
              </w:rPr>
              <w:t> </w:t>
            </w:r>
            <w:r>
              <w:rPr>
                <w:w w:val="115"/>
                <w:sz w:val="15"/>
                <w:u w:val="single"/>
              </w:rPr>
              <w:t>Financeiras</w:t>
            </w:r>
            <w:r>
              <w:rPr>
                <w:spacing w:val="9"/>
                <w:w w:val="115"/>
                <w:sz w:val="15"/>
                <w:u w:val="single"/>
              </w:rPr>
              <w:t> </w:t>
            </w:r>
            <w:r>
              <w:rPr>
                <w:w w:val="115"/>
                <w:sz w:val="15"/>
                <w:u w:val="single"/>
              </w:rPr>
              <w:t>Recebidas</w:t>
            </w:r>
            <w:r>
              <w:rPr>
                <w:spacing w:val="9"/>
                <w:w w:val="115"/>
                <w:sz w:val="15"/>
                <w:u w:val="single"/>
              </w:rPr>
              <w:t> </w:t>
            </w:r>
            <w:r>
              <w:rPr>
                <w:w w:val="115"/>
                <w:sz w:val="15"/>
                <w:u w:val="single"/>
              </w:rPr>
              <w:t>(II)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2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7.496.888,47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5.612.524,58</w:t>
            </w:r>
          </w:p>
        </w:tc>
      </w:tr>
      <w:tr>
        <w:trPr>
          <w:trHeight w:val="28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Recebidas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Execução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Orçamentária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8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7.496.888,47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Recebidas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Independentes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Execução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Orçamentária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90"/>
                <w:sz w:val="18"/>
              </w:rPr>
              <w:t>Transferencias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Recebidas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Aportes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Recursos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RPPS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12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Recebidas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Aportes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Recursos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RGPS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8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3"/>
              <w:rPr>
                <w:sz w:val="15"/>
              </w:rPr>
            </w:pPr>
            <w:r>
              <w:rPr>
                <w:w w:val="115"/>
                <w:sz w:val="15"/>
                <w:u w:val="single"/>
              </w:rPr>
              <w:t>Recebimentos</w:t>
            </w:r>
            <w:r>
              <w:rPr>
                <w:spacing w:val="16"/>
                <w:w w:val="115"/>
                <w:sz w:val="15"/>
                <w:u w:val="single"/>
              </w:rPr>
              <w:t> </w:t>
            </w:r>
            <w:r>
              <w:rPr>
                <w:w w:val="115"/>
                <w:sz w:val="15"/>
                <w:u w:val="single"/>
              </w:rPr>
              <w:t>Extraorçamentários</w:t>
            </w:r>
            <w:r>
              <w:rPr>
                <w:spacing w:val="16"/>
                <w:w w:val="115"/>
                <w:sz w:val="15"/>
                <w:u w:val="single"/>
              </w:rPr>
              <w:t> </w:t>
            </w:r>
            <w:r>
              <w:rPr>
                <w:w w:val="115"/>
                <w:sz w:val="15"/>
                <w:u w:val="single"/>
              </w:rPr>
              <w:t>(III)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1.015.759,05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718.872,88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rPr>
                <w:sz w:val="18"/>
              </w:rPr>
            </w:pPr>
            <w:r>
              <w:rPr>
                <w:w w:val="90"/>
                <w:sz w:val="18"/>
              </w:rPr>
              <w:t>Inscrição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Restos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Pagar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1.321,26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90"/>
                <w:sz w:val="18"/>
              </w:rPr>
              <w:t>Inscrição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Restos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Pagar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Depósitos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Restituíveis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Valores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Vinculados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824.992,81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672.289,17</w:t>
            </w:r>
          </w:p>
        </w:tc>
      </w:tr>
      <w:tr>
        <w:trPr>
          <w:trHeight w:val="412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Recebimentos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Extraorçamentários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189.444,98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29.985,61</w:t>
            </w:r>
          </w:p>
        </w:tc>
      </w:tr>
      <w:tr>
        <w:trPr>
          <w:trHeight w:val="38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3"/>
              <w:rPr>
                <w:sz w:val="15"/>
              </w:rPr>
            </w:pPr>
            <w:r>
              <w:rPr>
                <w:w w:val="120"/>
                <w:sz w:val="15"/>
                <w:u w:val="single"/>
              </w:rPr>
              <w:t>Saldo</w:t>
            </w:r>
            <w:r>
              <w:rPr>
                <w:spacing w:val="-7"/>
                <w:w w:val="120"/>
                <w:sz w:val="15"/>
                <w:u w:val="single"/>
              </w:rPr>
              <w:t> </w:t>
            </w:r>
            <w:r>
              <w:rPr>
                <w:w w:val="120"/>
                <w:sz w:val="15"/>
                <w:u w:val="single"/>
              </w:rPr>
              <w:t>do</w:t>
            </w:r>
            <w:r>
              <w:rPr>
                <w:spacing w:val="-6"/>
                <w:w w:val="120"/>
                <w:sz w:val="15"/>
                <w:u w:val="single"/>
              </w:rPr>
              <w:t> </w:t>
            </w:r>
            <w:r>
              <w:rPr>
                <w:w w:val="120"/>
                <w:sz w:val="15"/>
                <w:u w:val="single"/>
              </w:rPr>
              <w:t>Período</w:t>
            </w:r>
            <w:r>
              <w:rPr>
                <w:spacing w:val="-6"/>
                <w:w w:val="120"/>
                <w:sz w:val="15"/>
                <w:u w:val="single"/>
              </w:rPr>
              <w:t> </w:t>
            </w:r>
            <w:r>
              <w:rPr>
                <w:w w:val="120"/>
                <w:sz w:val="15"/>
                <w:u w:val="single"/>
              </w:rPr>
              <w:t>Anterior</w:t>
            </w:r>
          </w:p>
        </w:tc>
        <w:tc>
          <w:tcPr>
            <w:tcW w:w="172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2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16.598,10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3.855,87</w:t>
            </w:r>
          </w:p>
        </w:tc>
      </w:tr>
      <w:tr>
        <w:trPr>
          <w:trHeight w:val="436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</w:tr>
      <w:tr>
        <w:trPr>
          <w:trHeight w:val="584" w:hRule="atLeast"/>
        </w:trPr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TOTAL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(V)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=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(I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II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III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-4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IV)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8.529.245,62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6.335.253,33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type w:val="continuous"/>
          <w:pgSz w:w="11900" w:h="16840"/>
          <w:pgMar w:header="580" w:footer="749" w:top="2000" w:bottom="940" w:left="460" w:right="440"/>
          <w:pgNumType w:start="1"/>
        </w:sectPr>
      </w:pPr>
    </w:p>
    <w:p>
      <w:pPr>
        <w:pStyle w:val="BodyText"/>
        <w:spacing w:before="1"/>
        <w:ind w:left="0"/>
        <w:rPr>
          <w:rFonts w:ascii="Times New Roman"/>
          <w:sz w:val="2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723"/>
        <w:gridCol w:w="1396"/>
      </w:tblGrid>
      <w:tr>
        <w:trPr>
          <w:trHeight w:val="836" w:hRule="atLeast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1"/>
              <w:ind w:left="4996"/>
              <w:rPr>
                <w:sz w:val="18"/>
              </w:rPr>
            </w:pPr>
            <w:r>
              <w:rPr>
                <w:w w:val="110"/>
                <w:sz w:val="18"/>
              </w:rPr>
              <w:t>DISPÊNDIOS</w:t>
            </w:r>
          </w:p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right="75"/>
              <w:jc w:val="right"/>
              <w:rPr>
                <w:rFonts w:ascii="Verdana"/>
                <w:sz w:val="13"/>
              </w:rPr>
            </w:pPr>
            <w:r>
              <w:rPr>
                <w:rFonts w:ascii="Verdana"/>
                <w:w w:val="130"/>
                <w:sz w:val="13"/>
              </w:rPr>
              <w:t>Nota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10" w:lineRule="atLeast" w:before="0"/>
              <w:ind w:left="544" w:right="143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10" w:lineRule="atLeast" w:before="0"/>
              <w:ind w:left="285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24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9"/>
              <w:ind w:left="3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15"/>
                <w:sz w:val="15"/>
                <w:u w:val="single"/>
              </w:rPr>
              <w:t>Despesa</w:t>
            </w:r>
            <w:r>
              <w:rPr>
                <w:rFonts w:ascii="Arial MT" w:hAnsi="Arial MT"/>
                <w:spacing w:val="-4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Orçamentária</w:t>
            </w:r>
            <w:r>
              <w:rPr>
                <w:rFonts w:ascii="Arial MT" w:hAnsi="Arial MT"/>
                <w:spacing w:val="-4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(VI)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9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5.365.919,08</w:t>
            </w:r>
          </w:p>
        </w:tc>
        <w:tc>
          <w:tcPr>
            <w:tcW w:w="13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4.534.547,73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Despesas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Correntes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5.232.729,08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4.455.733,25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Pessoal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Encargos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Sociais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3.820.550,22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3.219.847,08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Outras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Despesas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Correntes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1.412.178,86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1.235.886,17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w w:val="90"/>
                <w:sz w:val="18"/>
              </w:rPr>
              <w:t>Despesas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Capital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133.190,00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</w:tr>
      <w:tr>
        <w:trPr>
          <w:trHeight w:val="41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Investimentos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133.190,00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78.814,48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15"/>
                <w:sz w:val="15"/>
                <w:u w:val="single"/>
              </w:rPr>
              <w:t>Transferências</w:t>
            </w:r>
            <w:r>
              <w:rPr>
                <w:rFonts w:ascii="Arial MT" w:hAnsi="Arial MT"/>
                <w:spacing w:val="10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Financeiras</w:t>
            </w:r>
            <w:r>
              <w:rPr>
                <w:rFonts w:ascii="Arial MT" w:hAnsi="Arial MT"/>
                <w:spacing w:val="10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Concedidas</w:t>
            </w:r>
            <w:r>
              <w:rPr>
                <w:rFonts w:ascii="Arial MT" w:hAnsi="Arial MT"/>
                <w:spacing w:val="10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(VII)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2.131.077,58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1.078.031,99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Execução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Orcamentaria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2.131.077,58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1.078.031,99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-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Independentes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Execução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Orçamentária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Concedidas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Aportes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Recursos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RPPS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41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Concedidas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Aportes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Recursos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RGPS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15"/>
                <w:sz w:val="15"/>
                <w:u w:val="single"/>
              </w:rPr>
              <w:t>Pagamentos</w:t>
            </w:r>
            <w:r>
              <w:rPr>
                <w:rFonts w:ascii="Arial MT" w:hAnsi="Arial MT"/>
                <w:spacing w:val="9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Extraorçamentários</w:t>
            </w:r>
            <w:r>
              <w:rPr>
                <w:rFonts w:ascii="Arial MT" w:hAnsi="Arial MT"/>
                <w:spacing w:val="9"/>
                <w:w w:val="115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15"/>
                <w:sz w:val="15"/>
                <w:u w:val="single"/>
              </w:rPr>
              <w:t>(VIII)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1.030.927,70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706.075,51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Despesa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Anterior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Paga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90"/>
                <w:sz w:val="18"/>
              </w:rPr>
              <w:t>Pagamento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Restos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Pagar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16.489,91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3.800,73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w w:val="90"/>
                <w:sz w:val="18"/>
              </w:rPr>
              <w:t>Pagamento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Restos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Pagar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Depósitos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Restituíveis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Valores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Vinculados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1.014.437,79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702.165,22</w:t>
            </w:r>
          </w:p>
        </w:tc>
      </w:tr>
      <w:tr>
        <w:trPr>
          <w:trHeight w:val="412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Pagamentos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Extraorçamentários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109,56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3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120"/>
                <w:sz w:val="15"/>
                <w:u w:val="single"/>
              </w:rPr>
              <w:t>Saldo</w:t>
            </w:r>
            <w:r>
              <w:rPr>
                <w:rFonts w:ascii="Arial MT" w:hAnsi="Arial MT"/>
                <w:spacing w:val="-13"/>
                <w:w w:val="120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20"/>
                <w:sz w:val="15"/>
                <w:u w:val="single"/>
              </w:rPr>
              <w:t>do</w:t>
            </w:r>
            <w:r>
              <w:rPr>
                <w:rFonts w:ascii="Arial MT" w:hAnsi="Arial MT"/>
                <w:spacing w:val="-12"/>
                <w:w w:val="120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20"/>
                <w:sz w:val="15"/>
                <w:u w:val="single"/>
              </w:rPr>
              <w:t>Período</w:t>
            </w:r>
            <w:r>
              <w:rPr>
                <w:rFonts w:ascii="Arial MT" w:hAnsi="Arial MT"/>
                <w:spacing w:val="-13"/>
                <w:w w:val="120"/>
                <w:sz w:val="15"/>
                <w:u w:val="single"/>
              </w:rPr>
              <w:t> </w:t>
            </w:r>
            <w:r>
              <w:rPr>
                <w:rFonts w:ascii="Arial MT" w:hAnsi="Arial MT"/>
                <w:w w:val="120"/>
                <w:sz w:val="15"/>
                <w:u w:val="single"/>
              </w:rPr>
              <w:t>Atua</w:t>
            </w:r>
            <w:r>
              <w:rPr>
                <w:rFonts w:ascii="Arial MT" w:hAnsi="Arial MT"/>
                <w:w w:val="120"/>
                <w:sz w:val="15"/>
              </w:rPr>
              <w:t>l</w:t>
            </w:r>
          </w:p>
        </w:tc>
        <w:tc>
          <w:tcPr>
            <w:tcW w:w="1723" w:type="dxa"/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1.321,26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16.598,10</w:t>
            </w:r>
          </w:p>
        </w:tc>
      </w:tr>
      <w:tr>
        <w:trPr>
          <w:trHeight w:val="43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76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Equivalentes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1.321,26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</w:tr>
      <w:tr>
        <w:trPr>
          <w:trHeight w:val="697" w:hRule="atLeast"/>
        </w:trPr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TOTAL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(X)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=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(VI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VII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VIII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+</w:t>
            </w:r>
            <w:r>
              <w:rPr>
                <w:spacing w:val="-5"/>
                <w:w w:val="110"/>
                <w:sz w:val="15"/>
              </w:rPr>
              <w:t> </w:t>
            </w:r>
            <w:r>
              <w:rPr>
                <w:w w:val="110"/>
                <w:sz w:val="15"/>
              </w:rPr>
              <w:t>IX)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21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8.529.245,62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2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6.335.253,33</w:t>
            </w:r>
          </w:p>
        </w:tc>
      </w:tr>
    </w:tbl>
    <w:sectPr>
      <w:pgSz w:w="11900" w:h="16840"/>
      <w:pgMar w:header="580" w:footer="749" w:top="2000" w:bottom="94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962624" from="28.439999pt,790.919861pt" to="566.999987pt,790.919861pt" stroked="true" strokeweight=".719988pt" strokecolor="#000000">
          <v:stroke dashstyle="solid"/>
          <w10:wrap type="none"/>
        </v:line>
      </w:pict>
    </w:r>
    <w:r>
      <w:rPr/>
      <w:pict>
        <v:shape style="position:absolute;margin-left:28.759989pt;margin-top:802.999817pt;width:253.65pt;height:7.65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19m.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59766pt;margin-top:28.020302pt;width:54.6pt;height:10.95pt;mso-position-horizontal-relative:page;mso-position-vertical-relative:page;z-index:-15964672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599899pt;margin-top:35.583542pt;width:127.55pt;height:12.15pt;mso-position-horizontal-relative:page;mso-position-vertical-relative:page;z-index:-159641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BALANÇO</w:t>
                </w:r>
                <w:r>
                  <w:rPr>
                    <w:spacing w:val="22"/>
                    <w:w w:val="110"/>
                    <w:sz w:val="20"/>
                  </w:rPr>
                  <w:t> </w:t>
                </w:r>
                <w:r>
                  <w:rPr>
                    <w:w w:val="110"/>
                    <w:sz w:val="20"/>
                  </w:rPr>
                  <w:t>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839783pt;margin-top:44.700294pt;width:32.4pt;height:10.95pt;mso-position-horizontal-relative:page;mso-position-vertical-relative:page;z-index:-15963648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</w:pPr>
                <w:r>
                  <w:rPr>
                    <w:w w:val="95"/>
                  </w:rPr>
                  <w:t>R$</w:t>
                </w:r>
                <w:r>
                  <w:rPr>
                    <w:spacing w:val="13"/>
                    <w:w w:val="95"/>
                  </w:rPr>
                  <w:t> </w:t>
                </w:r>
                <w:r>
                  <w:rPr>
                    <w:w w:val="95"/>
                  </w:rPr>
                  <w:t>1,00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999989pt;margin-top:56.34029pt;width:244.1pt;height:45pt;mso-position-horizontal-relative:page;mso-position-vertical-relative:page;z-index:-15963136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</w:pPr>
                <w:r>
                  <w:rPr>
                    <w:spacing w:val="-1"/>
                    <w:w w:val="90"/>
                  </w:rPr>
                  <w:t>Município:</w:t>
                </w:r>
                <w:r>
                  <w:rPr>
                    <w:spacing w:val="-4"/>
                    <w:w w:val="90"/>
                  </w:rPr>
                  <w:t> </w:t>
                </w:r>
                <w:r>
                  <w:rPr>
                    <w:w w:val="90"/>
                  </w:rPr>
                  <w:t>Canguçu</w:t>
                </w:r>
              </w:p>
              <w:p>
                <w:pPr>
                  <w:pStyle w:val="BodyText"/>
                  <w:spacing w:line="266" w:lineRule="auto" w:before="24"/>
                  <w:ind w:right="2069"/>
                </w:pPr>
                <w:r>
                  <w:rPr>
                    <w:w w:val="95"/>
                  </w:rPr>
                  <w:t>Estado do Rio Grande do Sul</w:t>
                </w:r>
                <w:r>
                  <w:rPr>
                    <w:spacing w:val="1"/>
                    <w:w w:val="95"/>
                  </w:rPr>
                  <w:t> </w:t>
                </w:r>
                <w:r>
                  <w:rPr>
                    <w:spacing w:val="-1"/>
                    <w:w w:val="90"/>
                  </w:rPr>
                  <w:t>Período: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01/01/2022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até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31/12/2022</w:t>
                </w:r>
              </w:p>
              <w:p>
                <w:pPr>
                  <w:pStyle w:val="BodyText"/>
                  <w:spacing w:before="1"/>
                </w:pPr>
                <w:r>
                  <w:rPr>
                    <w:spacing w:val="-1"/>
                    <w:w w:val="90"/>
                  </w:rPr>
                  <w:t>Unidade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spacing w:val="-1"/>
                    <w:w w:val="90"/>
                  </w:rPr>
                  <w:t>Gestora: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0001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-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CÂMARA</w:t>
                </w:r>
                <w:r>
                  <w:rPr>
                    <w:spacing w:val="-5"/>
                    <w:w w:val="90"/>
                  </w:rPr>
                  <w:t> </w:t>
                </w:r>
                <w:r>
                  <w:rPr>
                    <w:w w:val="90"/>
                  </w:rPr>
                  <w:t>MUNICIPAL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6"/>
                    <w:w w:val="90"/>
                  </w:rPr>
                  <w:t> </w:t>
                </w:r>
                <w:r>
                  <w:rPr>
                    <w:w w:val="90"/>
                  </w:rPr>
                  <w:t>VEREADORES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23" w:lineRule="exact"/>
      <w:ind w:left="20"/>
    </w:pPr>
    <w:rPr>
      <w:rFonts w:ascii="Microsoft Sans Serif" w:hAnsi="Microsoft Sans Serif" w:eastAsia="Microsoft Sans Serif" w:cs="Microsoft Sans Serif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1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2024-04-04T16:49:24Z</dcterms:created>
  <dcterms:modified xsi:type="dcterms:W3CDTF">2024-04-04T16:49:24Z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