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1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3"/>
        <w:gridCol w:w="1742"/>
        <w:gridCol w:w="1376"/>
      </w:tblGrid>
      <w:tr>
        <w:trPr>
          <w:trHeight w:val="948" w:hRule="atLeast"/>
        </w:trPr>
        <w:tc>
          <w:tcPr>
            <w:tcW w:w="765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17"/>
              <w:ind w:left="5043"/>
              <w:rPr>
                <w:b/>
                <w:sz w:val="19"/>
              </w:rPr>
            </w:pPr>
            <w:r>
              <w:rPr>
                <w:b/>
                <w:sz w:val="19"/>
              </w:rPr>
              <w:t>INGRESSOS</w:t>
            </w:r>
          </w:p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right="8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Nota</w:t>
            </w:r>
          </w:p>
        </w:tc>
        <w:tc>
          <w:tcPr>
            <w:tcW w:w="17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2" w:lineRule="auto" w:before="1"/>
              <w:ind w:left="557" w:right="576" w:hanging="168"/>
              <w:rPr>
                <w:b/>
                <w:sz w:val="17"/>
              </w:rPr>
            </w:pPr>
            <w:r>
              <w:rPr>
                <w:b/>
                <w:sz w:val="17"/>
              </w:rPr>
              <w:t>Exercício Atual</w:t>
            </w:r>
          </w:p>
        </w:tc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2" w:lineRule="auto" w:before="1"/>
              <w:ind w:left="283" w:right="357" w:hanging="48"/>
              <w:rPr>
                <w:b/>
                <w:sz w:val="17"/>
              </w:rPr>
            </w:pPr>
            <w:r>
              <w:rPr>
                <w:b/>
                <w:sz w:val="17"/>
              </w:rPr>
              <w:t>Exercício Anterior</w:t>
            </w:r>
          </w:p>
        </w:tc>
      </w:tr>
      <w:tr>
        <w:trPr>
          <w:trHeight w:val="331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2"/>
              <w:ind w:lef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  <w:u w:val="single"/>
              </w:rPr>
              <w:t>Receita Orçamentária (I)</w:t>
            </w:r>
          </w:p>
        </w:tc>
        <w:tc>
          <w:tcPr>
            <w:tcW w:w="17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219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37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2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2"/>
              <w:ind w:left="58"/>
              <w:rPr>
                <w:sz w:val="15"/>
              </w:rPr>
            </w:pPr>
            <w:r>
              <w:rPr>
                <w:sz w:val="15"/>
              </w:rPr>
              <w:t>Receitas Correntes</w:t>
            </w:r>
          </w:p>
        </w:tc>
        <w:tc>
          <w:tcPr>
            <w:tcW w:w="1742" w:type="dxa"/>
          </w:tcPr>
          <w:p>
            <w:pPr>
              <w:pStyle w:val="TableParagraph"/>
              <w:spacing w:before="52"/>
              <w:ind w:right="21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58"/>
              <w:rPr>
                <w:sz w:val="15"/>
              </w:rPr>
            </w:pPr>
            <w:r>
              <w:rPr>
                <w:sz w:val="15"/>
              </w:rPr>
              <w:t>(-)Deduções Da Receita</w:t>
            </w:r>
          </w:p>
        </w:tc>
        <w:tc>
          <w:tcPr>
            <w:tcW w:w="1742" w:type="dxa"/>
          </w:tcPr>
          <w:p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58"/>
              <w:rPr>
                <w:sz w:val="15"/>
              </w:rPr>
            </w:pPr>
            <w:r>
              <w:rPr>
                <w:sz w:val="15"/>
              </w:rPr>
              <w:t>Receitas de Capital</w:t>
            </w:r>
          </w:p>
        </w:tc>
        <w:tc>
          <w:tcPr>
            <w:tcW w:w="1742" w:type="dxa"/>
          </w:tcPr>
          <w:p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5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58"/>
              <w:rPr>
                <w:sz w:val="15"/>
              </w:rPr>
            </w:pPr>
            <w:r>
              <w:rPr>
                <w:sz w:val="15"/>
              </w:rPr>
              <w:t>(-)Deduções de Capital</w:t>
            </w:r>
          </w:p>
        </w:tc>
        <w:tc>
          <w:tcPr>
            <w:tcW w:w="1742" w:type="dxa"/>
          </w:tcPr>
          <w:p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9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  <w:u w:val="single"/>
              </w:rPr>
              <w:t>Transferências Financeiras Recebidas (II)</w:t>
            </w:r>
          </w:p>
        </w:tc>
        <w:tc>
          <w:tcPr>
            <w:tcW w:w="1742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right="219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5.686.719,60</w:t>
            </w:r>
          </w:p>
        </w:tc>
        <w:tc>
          <w:tcPr>
            <w:tcW w:w="13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5.268.051,82</w:t>
            </w:r>
          </w:p>
        </w:tc>
      </w:tr>
      <w:tr>
        <w:trPr>
          <w:trHeight w:val="282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2"/>
              <w:ind w:left="58"/>
              <w:rPr>
                <w:sz w:val="15"/>
              </w:rPr>
            </w:pPr>
            <w:r>
              <w:rPr>
                <w:sz w:val="15"/>
              </w:rPr>
              <w:t>Transferências Recebidas para a Execução Orçamentária</w:t>
            </w:r>
          </w:p>
        </w:tc>
        <w:tc>
          <w:tcPr>
            <w:tcW w:w="1742" w:type="dxa"/>
          </w:tcPr>
          <w:p>
            <w:pPr>
              <w:pStyle w:val="TableParagraph"/>
              <w:spacing w:before="52"/>
              <w:ind w:right="219"/>
              <w:jc w:val="right"/>
              <w:rPr>
                <w:sz w:val="15"/>
              </w:rPr>
            </w:pPr>
            <w:r>
              <w:rPr>
                <w:sz w:val="15"/>
              </w:rPr>
              <w:t>5.686.719,60</w:t>
            </w:r>
          </w:p>
        </w:tc>
        <w:tc>
          <w:tcPr>
            <w:tcW w:w="13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2"/>
              <w:jc w:val="right"/>
              <w:rPr>
                <w:sz w:val="15"/>
              </w:rPr>
            </w:pPr>
            <w:r>
              <w:rPr>
                <w:sz w:val="15"/>
              </w:rPr>
              <w:t>5.268.051,82</w:t>
            </w:r>
          </w:p>
        </w:tc>
      </w:tr>
      <w:tr>
        <w:trPr>
          <w:trHeight w:val="283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58"/>
              <w:rPr>
                <w:sz w:val="15"/>
              </w:rPr>
            </w:pPr>
            <w:r>
              <w:rPr>
                <w:sz w:val="15"/>
              </w:rPr>
              <w:t>Transferências Recebidas Independentes de Execução Orçamentária</w:t>
            </w:r>
          </w:p>
        </w:tc>
        <w:tc>
          <w:tcPr>
            <w:tcW w:w="1742" w:type="dxa"/>
          </w:tcPr>
          <w:p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58"/>
              <w:rPr>
                <w:sz w:val="15"/>
              </w:rPr>
            </w:pPr>
            <w:r>
              <w:rPr>
                <w:sz w:val="15"/>
              </w:rPr>
              <w:t>Transferencias Recebidas para Aportes de Recursos para o RPPS</w:t>
            </w:r>
          </w:p>
        </w:tc>
        <w:tc>
          <w:tcPr>
            <w:tcW w:w="1742" w:type="dxa"/>
          </w:tcPr>
          <w:p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5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58"/>
              <w:rPr>
                <w:sz w:val="15"/>
              </w:rPr>
            </w:pPr>
            <w:r>
              <w:rPr>
                <w:sz w:val="15"/>
              </w:rPr>
              <w:t>Transferências Recebidas para Aportes de Recursos para o RGPS</w:t>
            </w:r>
          </w:p>
        </w:tc>
        <w:tc>
          <w:tcPr>
            <w:tcW w:w="1742" w:type="dxa"/>
          </w:tcPr>
          <w:p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9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  <w:u w:val="single"/>
              </w:rPr>
              <w:t>Recebimentos Extraorçamentários (III)</w:t>
            </w:r>
          </w:p>
        </w:tc>
        <w:tc>
          <w:tcPr>
            <w:tcW w:w="17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right="2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821.723,79</w:t>
            </w:r>
          </w:p>
        </w:tc>
        <w:tc>
          <w:tcPr>
            <w:tcW w:w="13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1.237.727,03</w:t>
            </w:r>
          </w:p>
        </w:tc>
      </w:tr>
      <w:tr>
        <w:trPr>
          <w:trHeight w:val="282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2"/>
              <w:ind w:left="58"/>
              <w:rPr>
                <w:sz w:val="15"/>
              </w:rPr>
            </w:pPr>
            <w:r>
              <w:rPr>
                <w:sz w:val="15"/>
              </w:rPr>
              <w:t>Inscrição de Restos a Pagar Não Processados</w:t>
            </w:r>
          </w:p>
        </w:tc>
        <w:tc>
          <w:tcPr>
            <w:tcW w:w="1742" w:type="dxa"/>
          </w:tcPr>
          <w:p>
            <w:pPr>
              <w:pStyle w:val="TableParagraph"/>
              <w:spacing w:before="52"/>
              <w:ind w:right="219"/>
              <w:jc w:val="right"/>
              <w:rPr>
                <w:sz w:val="15"/>
              </w:rPr>
            </w:pPr>
            <w:r>
              <w:rPr>
                <w:sz w:val="15"/>
              </w:rPr>
              <w:t>3.855,87</w:t>
            </w:r>
          </w:p>
        </w:tc>
        <w:tc>
          <w:tcPr>
            <w:tcW w:w="13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2"/>
              <w:jc w:val="right"/>
              <w:rPr>
                <w:sz w:val="15"/>
              </w:rPr>
            </w:pPr>
            <w:r>
              <w:rPr>
                <w:sz w:val="15"/>
              </w:rPr>
              <w:t>136.724,57</w:t>
            </w:r>
          </w:p>
        </w:tc>
      </w:tr>
      <w:tr>
        <w:trPr>
          <w:trHeight w:val="283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58"/>
              <w:rPr>
                <w:sz w:val="15"/>
              </w:rPr>
            </w:pPr>
            <w:r>
              <w:rPr>
                <w:sz w:val="15"/>
              </w:rPr>
              <w:t>Inscrição de Restos a Pagar Processados</w:t>
            </w:r>
          </w:p>
        </w:tc>
        <w:tc>
          <w:tcPr>
            <w:tcW w:w="1742" w:type="dxa"/>
          </w:tcPr>
          <w:p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58"/>
              <w:rPr>
                <w:sz w:val="15"/>
              </w:rPr>
            </w:pPr>
            <w:r>
              <w:rPr>
                <w:sz w:val="15"/>
              </w:rPr>
              <w:t>Depósitos Restituíveis e Valores Vinculados</w:t>
            </w:r>
          </w:p>
        </w:tc>
        <w:tc>
          <w:tcPr>
            <w:tcW w:w="1742" w:type="dxa"/>
          </w:tcPr>
          <w:p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sz w:val="15"/>
              </w:rPr>
              <w:t>753.042,95</w:t>
            </w:r>
          </w:p>
        </w:tc>
        <w:tc>
          <w:tcPr>
            <w:tcW w:w="137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820.557,65</w:t>
            </w:r>
          </w:p>
        </w:tc>
      </w:tr>
      <w:tr>
        <w:trPr>
          <w:trHeight w:val="395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58"/>
              <w:rPr>
                <w:sz w:val="15"/>
              </w:rPr>
            </w:pPr>
            <w:r>
              <w:rPr>
                <w:sz w:val="15"/>
              </w:rPr>
              <w:t>Outros Recebimentos Extraorçamentários</w:t>
            </w:r>
          </w:p>
        </w:tc>
        <w:tc>
          <w:tcPr>
            <w:tcW w:w="1742" w:type="dxa"/>
          </w:tcPr>
          <w:p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sz w:val="15"/>
              </w:rPr>
              <w:t>64.824,97</w:t>
            </w:r>
          </w:p>
        </w:tc>
        <w:tc>
          <w:tcPr>
            <w:tcW w:w="137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280.444,81</w:t>
            </w:r>
          </w:p>
        </w:tc>
      </w:tr>
      <w:tr>
        <w:trPr>
          <w:trHeight w:val="399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  <w:u w:val="single"/>
              </w:rPr>
              <w:t>Saldo do Exercício Anterior (IV)</w:t>
            </w:r>
          </w:p>
        </w:tc>
        <w:tc>
          <w:tcPr>
            <w:tcW w:w="17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right="2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138.224,57</w:t>
            </w:r>
          </w:p>
        </w:tc>
        <w:tc>
          <w:tcPr>
            <w:tcW w:w="13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58.293,59</w:t>
            </w:r>
          </w:p>
        </w:tc>
      </w:tr>
      <w:tr>
        <w:trPr>
          <w:trHeight w:val="423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2"/>
              <w:ind w:left="58"/>
              <w:rPr>
                <w:sz w:val="15"/>
              </w:rPr>
            </w:pPr>
            <w:r>
              <w:rPr>
                <w:sz w:val="15"/>
              </w:rPr>
              <w:t>Caixa e Equivalentes de Caixa</w:t>
            </w:r>
          </w:p>
        </w:tc>
        <w:tc>
          <w:tcPr>
            <w:tcW w:w="1742" w:type="dxa"/>
          </w:tcPr>
          <w:p>
            <w:pPr>
              <w:pStyle w:val="TableParagraph"/>
              <w:spacing w:before="52"/>
              <w:ind w:right="219"/>
              <w:jc w:val="right"/>
              <w:rPr>
                <w:sz w:val="15"/>
              </w:rPr>
            </w:pPr>
            <w:r>
              <w:rPr>
                <w:sz w:val="15"/>
              </w:rPr>
              <w:t>138.224,57</w:t>
            </w:r>
          </w:p>
        </w:tc>
        <w:tc>
          <w:tcPr>
            <w:tcW w:w="13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2"/>
              <w:jc w:val="right"/>
              <w:rPr>
                <w:sz w:val="15"/>
              </w:rPr>
            </w:pPr>
            <w:r>
              <w:rPr>
                <w:sz w:val="15"/>
              </w:rPr>
              <w:t>58.293,59</w:t>
            </w:r>
          </w:p>
        </w:tc>
      </w:tr>
      <w:tr>
        <w:trPr>
          <w:trHeight w:val="590" w:hRule="atLeast"/>
        </w:trPr>
        <w:tc>
          <w:tcPr>
            <w:tcW w:w="76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5"/>
              <w:rPr>
                <w:b/>
                <w:sz w:val="15"/>
              </w:rPr>
            </w:pPr>
            <w:r>
              <w:rPr>
                <w:b/>
                <w:sz w:val="15"/>
              </w:rPr>
              <w:t>TOTAL (V) = (I + II + III + IV)</w:t>
            </w:r>
          </w:p>
        </w:tc>
        <w:tc>
          <w:tcPr>
            <w:tcW w:w="17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right="2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6.646.667,96</w:t>
            </w:r>
          </w:p>
        </w:tc>
        <w:tc>
          <w:tcPr>
            <w:tcW w:w="137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6.564.072,44</w:t>
            </w:r>
          </w:p>
        </w:tc>
      </w:tr>
    </w:tbl>
    <w:p>
      <w:pPr>
        <w:spacing w:after="0"/>
        <w:jc w:val="right"/>
        <w:rPr>
          <w:sz w:val="15"/>
        </w:rPr>
        <w:sectPr>
          <w:headerReference w:type="default" r:id="rId5"/>
          <w:footerReference w:type="default" r:id="rId6"/>
          <w:type w:val="continuous"/>
          <w:pgSz w:w="11910" w:h="16840"/>
          <w:pgMar w:header="592" w:footer="747" w:top="2000" w:bottom="940" w:left="460" w:right="440"/>
          <w:pgNumType w:start="1"/>
        </w:sectPr>
      </w:pPr>
    </w:p>
    <w:p>
      <w:pPr>
        <w:pStyle w:val="BodyText"/>
        <w:spacing w:before="9"/>
        <w:rPr>
          <w:rFonts w:ascii="Times New Roman"/>
          <w:sz w:val="21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3"/>
        <w:gridCol w:w="1742"/>
        <w:gridCol w:w="1376"/>
      </w:tblGrid>
      <w:tr>
        <w:trPr>
          <w:trHeight w:val="835" w:hRule="atLeast"/>
        </w:trPr>
        <w:tc>
          <w:tcPr>
            <w:tcW w:w="765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17"/>
              <w:ind w:left="5022"/>
              <w:rPr>
                <w:b/>
                <w:sz w:val="19"/>
              </w:rPr>
            </w:pPr>
            <w:r>
              <w:rPr>
                <w:b/>
                <w:sz w:val="19"/>
              </w:rPr>
              <w:t>DISPÊNDIOS</w:t>
            </w:r>
          </w:p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91" w:lineRule="exact" w:before="0"/>
              <w:ind w:right="8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Nota</w:t>
            </w:r>
          </w:p>
        </w:tc>
        <w:tc>
          <w:tcPr>
            <w:tcW w:w="17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0" w:lineRule="atLeast" w:before="0"/>
              <w:ind w:left="557" w:right="576" w:hanging="168"/>
              <w:rPr>
                <w:b/>
                <w:sz w:val="17"/>
              </w:rPr>
            </w:pPr>
            <w:r>
              <w:rPr>
                <w:b/>
                <w:sz w:val="17"/>
              </w:rPr>
              <w:t>Exercício Atual</w:t>
            </w:r>
          </w:p>
        </w:tc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0" w:lineRule="atLeast" w:before="0"/>
              <w:ind w:left="283" w:right="357" w:hanging="48"/>
              <w:rPr>
                <w:b/>
                <w:sz w:val="17"/>
              </w:rPr>
            </w:pPr>
            <w:r>
              <w:rPr>
                <w:b/>
                <w:sz w:val="17"/>
              </w:rPr>
              <w:t>Exercício Anterior</w:t>
            </w:r>
          </w:p>
        </w:tc>
      </w:tr>
      <w:tr>
        <w:trPr>
          <w:trHeight w:val="331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2"/>
              <w:ind w:lef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  <w:u w:val="single"/>
              </w:rPr>
              <w:t>Despesa Orçamentária (VI)</w:t>
            </w:r>
          </w:p>
        </w:tc>
        <w:tc>
          <w:tcPr>
            <w:tcW w:w="17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0"/>
              <w:ind w:right="2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4.362.299,02</w:t>
            </w:r>
          </w:p>
        </w:tc>
        <w:tc>
          <w:tcPr>
            <w:tcW w:w="137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4.817.794,75</w:t>
            </w:r>
          </w:p>
        </w:tc>
      </w:tr>
      <w:tr>
        <w:trPr>
          <w:trHeight w:val="282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2"/>
              <w:ind w:left="15"/>
              <w:rPr>
                <w:sz w:val="15"/>
              </w:rPr>
            </w:pPr>
            <w:r>
              <w:rPr>
                <w:sz w:val="15"/>
              </w:rPr>
              <w:t>Despesas Correntes</w:t>
            </w:r>
          </w:p>
        </w:tc>
        <w:tc>
          <w:tcPr>
            <w:tcW w:w="1742" w:type="dxa"/>
          </w:tcPr>
          <w:p>
            <w:pPr>
              <w:pStyle w:val="TableParagraph"/>
              <w:spacing w:before="52"/>
              <w:ind w:right="219"/>
              <w:jc w:val="right"/>
              <w:rPr>
                <w:sz w:val="15"/>
              </w:rPr>
            </w:pPr>
            <w:r>
              <w:rPr>
                <w:sz w:val="15"/>
              </w:rPr>
              <w:t>4.342.414,12</w:t>
            </w:r>
          </w:p>
        </w:tc>
        <w:tc>
          <w:tcPr>
            <w:tcW w:w="13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2"/>
              <w:jc w:val="right"/>
              <w:rPr>
                <w:sz w:val="15"/>
              </w:rPr>
            </w:pPr>
            <w:r>
              <w:rPr>
                <w:sz w:val="15"/>
              </w:rPr>
              <w:t>4.720.456,35</w:t>
            </w:r>
          </w:p>
        </w:tc>
      </w:tr>
      <w:tr>
        <w:trPr>
          <w:trHeight w:val="283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5"/>
              <w:rPr>
                <w:sz w:val="15"/>
              </w:rPr>
            </w:pPr>
            <w:r>
              <w:rPr>
                <w:sz w:val="15"/>
              </w:rPr>
              <w:t>Pessoal e Encargos Sociais</w:t>
            </w:r>
          </w:p>
        </w:tc>
        <w:tc>
          <w:tcPr>
            <w:tcW w:w="1742" w:type="dxa"/>
          </w:tcPr>
          <w:p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sz w:val="15"/>
              </w:rPr>
              <w:t>3.534.949,94</w:t>
            </w:r>
          </w:p>
        </w:tc>
        <w:tc>
          <w:tcPr>
            <w:tcW w:w="137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3.589.598,56</w:t>
            </w:r>
          </w:p>
        </w:tc>
      </w:tr>
      <w:tr>
        <w:trPr>
          <w:trHeight w:val="283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5"/>
              <w:rPr>
                <w:sz w:val="15"/>
              </w:rPr>
            </w:pPr>
            <w:r>
              <w:rPr>
                <w:sz w:val="15"/>
              </w:rPr>
              <w:t>Outras Despesas Correntes</w:t>
            </w:r>
          </w:p>
        </w:tc>
        <w:tc>
          <w:tcPr>
            <w:tcW w:w="1742" w:type="dxa"/>
          </w:tcPr>
          <w:p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sz w:val="15"/>
              </w:rPr>
              <w:t>807.464,18</w:t>
            </w:r>
          </w:p>
        </w:tc>
        <w:tc>
          <w:tcPr>
            <w:tcW w:w="137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1.130.857,79</w:t>
            </w:r>
          </w:p>
        </w:tc>
      </w:tr>
      <w:tr>
        <w:trPr>
          <w:trHeight w:val="283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5"/>
              <w:rPr>
                <w:sz w:val="15"/>
              </w:rPr>
            </w:pPr>
            <w:r>
              <w:rPr>
                <w:sz w:val="15"/>
              </w:rPr>
              <w:t>Despesas de Capital</w:t>
            </w:r>
          </w:p>
        </w:tc>
        <w:tc>
          <w:tcPr>
            <w:tcW w:w="1742" w:type="dxa"/>
          </w:tcPr>
          <w:p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sz w:val="15"/>
              </w:rPr>
              <w:t>19.884,90</w:t>
            </w:r>
          </w:p>
        </w:tc>
        <w:tc>
          <w:tcPr>
            <w:tcW w:w="137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97.338,40</w:t>
            </w:r>
          </w:p>
        </w:tc>
      </w:tr>
      <w:tr>
        <w:trPr>
          <w:trHeight w:val="395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5"/>
              <w:rPr>
                <w:sz w:val="15"/>
              </w:rPr>
            </w:pPr>
            <w:r>
              <w:rPr>
                <w:sz w:val="15"/>
              </w:rPr>
              <w:t>Investimentos</w:t>
            </w:r>
          </w:p>
        </w:tc>
        <w:tc>
          <w:tcPr>
            <w:tcW w:w="1742" w:type="dxa"/>
          </w:tcPr>
          <w:p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sz w:val="15"/>
              </w:rPr>
              <w:t>19.884,90</w:t>
            </w:r>
          </w:p>
        </w:tc>
        <w:tc>
          <w:tcPr>
            <w:tcW w:w="137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97.338,40</w:t>
            </w:r>
          </w:p>
        </w:tc>
      </w:tr>
      <w:tr>
        <w:trPr>
          <w:trHeight w:val="399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  <w:u w:val="single"/>
              </w:rPr>
              <w:t>Transferências Financeiras Concedidas (VII)</w:t>
            </w:r>
          </w:p>
        </w:tc>
        <w:tc>
          <w:tcPr>
            <w:tcW w:w="17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2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1.325.147,20</w:t>
            </w:r>
          </w:p>
        </w:tc>
        <w:tc>
          <w:tcPr>
            <w:tcW w:w="13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455.073,38</w:t>
            </w:r>
          </w:p>
        </w:tc>
      </w:tr>
      <w:tr>
        <w:trPr>
          <w:trHeight w:val="282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2"/>
              <w:ind w:left="58"/>
              <w:rPr>
                <w:sz w:val="15"/>
              </w:rPr>
            </w:pPr>
            <w:r>
              <w:rPr>
                <w:sz w:val="15"/>
              </w:rPr>
              <w:t>Transferências Concedidas para a Execução Orcamentaria</w:t>
            </w:r>
          </w:p>
        </w:tc>
        <w:tc>
          <w:tcPr>
            <w:tcW w:w="1742" w:type="dxa"/>
          </w:tcPr>
          <w:p>
            <w:pPr>
              <w:pStyle w:val="TableParagraph"/>
              <w:spacing w:before="52"/>
              <w:ind w:right="219"/>
              <w:jc w:val="right"/>
              <w:rPr>
                <w:sz w:val="15"/>
              </w:rPr>
            </w:pPr>
            <w:r>
              <w:rPr>
                <w:sz w:val="15"/>
              </w:rPr>
              <w:t>1.325.147,20</w:t>
            </w:r>
          </w:p>
        </w:tc>
        <w:tc>
          <w:tcPr>
            <w:tcW w:w="13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58"/>
              <w:rPr>
                <w:sz w:val="15"/>
              </w:rPr>
            </w:pPr>
            <w:r>
              <w:rPr>
                <w:sz w:val="15"/>
              </w:rPr>
              <w:t>Transferências Concedidas - Independentes de Execução Orçamentária</w:t>
            </w:r>
          </w:p>
        </w:tc>
        <w:tc>
          <w:tcPr>
            <w:tcW w:w="1742" w:type="dxa"/>
          </w:tcPr>
          <w:p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455.073,38</w:t>
            </w:r>
          </w:p>
        </w:tc>
      </w:tr>
      <w:tr>
        <w:trPr>
          <w:trHeight w:val="283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58"/>
              <w:rPr>
                <w:sz w:val="15"/>
              </w:rPr>
            </w:pPr>
            <w:r>
              <w:rPr>
                <w:sz w:val="15"/>
              </w:rPr>
              <w:t>Transferências Concedidas para Aportes de Recursos para o RPPS</w:t>
            </w:r>
          </w:p>
        </w:tc>
        <w:tc>
          <w:tcPr>
            <w:tcW w:w="1742" w:type="dxa"/>
          </w:tcPr>
          <w:p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5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58"/>
              <w:rPr>
                <w:sz w:val="15"/>
              </w:rPr>
            </w:pPr>
            <w:r>
              <w:rPr>
                <w:sz w:val="15"/>
              </w:rPr>
              <w:t>Transferências Concedidas para Aportes de Recursos para o RGPS</w:t>
            </w:r>
          </w:p>
        </w:tc>
        <w:tc>
          <w:tcPr>
            <w:tcW w:w="1742" w:type="dxa"/>
          </w:tcPr>
          <w:p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9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  <w:u w:val="single"/>
              </w:rPr>
              <w:t>Pagamentos Extraorçamentários (VIII)</w:t>
            </w:r>
          </w:p>
        </w:tc>
        <w:tc>
          <w:tcPr>
            <w:tcW w:w="17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right="2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955.365,87</w:t>
            </w:r>
          </w:p>
        </w:tc>
        <w:tc>
          <w:tcPr>
            <w:tcW w:w="13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1.152.979,74</w:t>
            </w:r>
          </w:p>
        </w:tc>
      </w:tr>
      <w:tr>
        <w:trPr>
          <w:trHeight w:val="282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2"/>
              <w:ind w:left="58"/>
              <w:rPr>
                <w:sz w:val="15"/>
              </w:rPr>
            </w:pPr>
            <w:r>
              <w:rPr>
                <w:sz w:val="15"/>
              </w:rPr>
              <w:t>Pagamento de Restos a Pagar Não Processados</w:t>
            </w:r>
          </w:p>
        </w:tc>
        <w:tc>
          <w:tcPr>
            <w:tcW w:w="1742" w:type="dxa"/>
          </w:tcPr>
          <w:p>
            <w:pPr>
              <w:pStyle w:val="TableParagraph"/>
              <w:spacing w:before="52"/>
              <w:ind w:right="219"/>
              <w:jc w:val="right"/>
              <w:rPr>
                <w:sz w:val="15"/>
              </w:rPr>
            </w:pPr>
            <w:r>
              <w:rPr>
                <w:sz w:val="15"/>
              </w:rPr>
              <w:t>137.497,95</w:t>
            </w:r>
          </w:p>
        </w:tc>
        <w:tc>
          <w:tcPr>
            <w:tcW w:w="13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2"/>
              <w:jc w:val="right"/>
              <w:rPr>
                <w:sz w:val="15"/>
              </w:rPr>
            </w:pPr>
            <w:r>
              <w:rPr>
                <w:sz w:val="15"/>
              </w:rPr>
              <w:t>51.977,28</w:t>
            </w:r>
          </w:p>
        </w:tc>
      </w:tr>
      <w:tr>
        <w:trPr>
          <w:trHeight w:val="283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58"/>
              <w:rPr>
                <w:sz w:val="15"/>
              </w:rPr>
            </w:pPr>
            <w:r>
              <w:rPr>
                <w:sz w:val="15"/>
              </w:rPr>
              <w:t>Pagamento de Restos a Pagar Processados</w:t>
            </w:r>
          </w:p>
        </w:tc>
        <w:tc>
          <w:tcPr>
            <w:tcW w:w="1742" w:type="dxa"/>
          </w:tcPr>
          <w:p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58"/>
              <w:rPr>
                <w:sz w:val="15"/>
              </w:rPr>
            </w:pPr>
            <w:r>
              <w:rPr>
                <w:sz w:val="15"/>
              </w:rPr>
              <w:t>Depósitos Restituíveis e Valores Vinculados</w:t>
            </w:r>
          </w:p>
        </w:tc>
        <w:tc>
          <w:tcPr>
            <w:tcW w:w="1742" w:type="dxa"/>
          </w:tcPr>
          <w:p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sz w:val="15"/>
              </w:rPr>
              <w:t>764.614,03</w:t>
            </w:r>
          </w:p>
        </w:tc>
        <w:tc>
          <w:tcPr>
            <w:tcW w:w="137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830.121,79</w:t>
            </w:r>
          </w:p>
        </w:tc>
      </w:tr>
      <w:tr>
        <w:trPr>
          <w:trHeight w:val="395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58"/>
              <w:rPr>
                <w:sz w:val="15"/>
              </w:rPr>
            </w:pPr>
            <w:r>
              <w:rPr>
                <w:sz w:val="15"/>
              </w:rPr>
              <w:t>Outros Pagamentos Extraorçamentários</w:t>
            </w:r>
          </w:p>
        </w:tc>
        <w:tc>
          <w:tcPr>
            <w:tcW w:w="1742" w:type="dxa"/>
          </w:tcPr>
          <w:p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sz w:val="15"/>
              </w:rPr>
              <w:t>53.253,89</w:t>
            </w:r>
          </w:p>
        </w:tc>
        <w:tc>
          <w:tcPr>
            <w:tcW w:w="137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270.880,67</w:t>
            </w:r>
          </w:p>
        </w:tc>
      </w:tr>
      <w:tr>
        <w:trPr>
          <w:trHeight w:val="399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  <w:u w:val="single"/>
              </w:rPr>
              <w:t>Saldo para o Exercício Seguinte (IX)</w:t>
            </w:r>
          </w:p>
        </w:tc>
        <w:tc>
          <w:tcPr>
            <w:tcW w:w="1742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2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3.855,87</w:t>
            </w:r>
          </w:p>
        </w:tc>
        <w:tc>
          <w:tcPr>
            <w:tcW w:w="13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138.224,57</w:t>
            </w:r>
          </w:p>
        </w:tc>
      </w:tr>
      <w:tr>
        <w:trPr>
          <w:trHeight w:val="423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2"/>
              <w:ind w:left="58"/>
              <w:rPr>
                <w:sz w:val="15"/>
              </w:rPr>
            </w:pPr>
            <w:r>
              <w:rPr>
                <w:sz w:val="15"/>
              </w:rPr>
              <w:t>Caixa e Equivalentes de Caixa</w:t>
            </w:r>
          </w:p>
        </w:tc>
        <w:tc>
          <w:tcPr>
            <w:tcW w:w="1742" w:type="dxa"/>
          </w:tcPr>
          <w:p>
            <w:pPr>
              <w:pStyle w:val="TableParagraph"/>
              <w:spacing w:before="52"/>
              <w:ind w:right="219"/>
              <w:jc w:val="right"/>
              <w:rPr>
                <w:sz w:val="15"/>
              </w:rPr>
            </w:pPr>
            <w:r>
              <w:rPr>
                <w:sz w:val="15"/>
              </w:rPr>
              <w:t>3.855,87</w:t>
            </w:r>
          </w:p>
        </w:tc>
        <w:tc>
          <w:tcPr>
            <w:tcW w:w="13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2"/>
              <w:jc w:val="right"/>
              <w:rPr>
                <w:sz w:val="15"/>
              </w:rPr>
            </w:pPr>
            <w:r>
              <w:rPr>
                <w:sz w:val="15"/>
              </w:rPr>
              <w:t>138.224,57</w:t>
            </w:r>
          </w:p>
        </w:tc>
      </w:tr>
      <w:tr>
        <w:trPr>
          <w:trHeight w:val="703" w:hRule="atLeast"/>
        </w:trPr>
        <w:tc>
          <w:tcPr>
            <w:tcW w:w="76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5"/>
              <w:rPr>
                <w:b/>
                <w:sz w:val="15"/>
              </w:rPr>
            </w:pPr>
            <w:r>
              <w:rPr>
                <w:b/>
                <w:sz w:val="15"/>
              </w:rPr>
              <w:t>TOTAL (X) = (VI + VII + VIII + IX)</w:t>
            </w:r>
          </w:p>
        </w:tc>
        <w:tc>
          <w:tcPr>
            <w:tcW w:w="17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right="2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6.646.667,96</w:t>
            </w:r>
          </w:p>
        </w:tc>
        <w:tc>
          <w:tcPr>
            <w:tcW w:w="137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6.564.072,44</w:t>
            </w:r>
          </w:p>
        </w:tc>
      </w:tr>
    </w:tbl>
    <w:sectPr>
      <w:pgSz w:w="11910" w:h="16840"/>
      <w:pgMar w:header="592" w:footer="747" w:top="2000" w:bottom="94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109824" from="28.35pt,790.869995pt" to="566.930pt,790.869995pt" stroked="true" strokeweight=".65pt" strokecolor="#000000">
          <v:stroke dashstyle="solid"/>
          <w10:wrap type="none"/>
        </v:line>
      </w:pict>
    </w:r>
    <w:r>
      <w:rPr/>
      <w:pict>
        <v:shape style="position:absolute;margin-left:28.200001pt;margin-top:802.272827pt;width:92.7pt;height:8.450pt;mso-position-horizontal-relative:page;mso-position-vertical-relative:page;z-index:-2521088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w w:val="105"/>
                    <w:sz w:val="11"/>
                  </w:rPr>
                  <w:t>GOVBR CP - Contabilidade Pública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480.670013pt;margin-top:805.102783pt;width:86.4pt;height:8.450pt;mso-position-horizontal-relative:page;mso-position-vertical-relative:page;z-index:-2521077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w w:val="105"/>
                    <w:sz w:val="11"/>
                  </w:rPr>
                  <w:t>Emitido em: 12/01/2021 11:20:41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7.929993pt;margin-top:28.623726pt;width:49.2pt;height:10.55pt;mso-position-horizontal-relative:page;mso-position-vertical-relative:page;z-index:-252112896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  <w:r>
      <w:rPr/>
      <w:pict>
        <v:shape style="position:absolute;margin-left:241.929993pt;margin-top:33.860119pt;width:122.7pt;height:13.75pt;mso-position-horizontal-relative:page;mso-position-vertical-relative:page;z-index:-2521118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BALANÇO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28.200001pt;margin-top:56.963726pt;width:232pt;height:44.6pt;mso-position-horizontal-relative:page;mso-position-vertical-relative:page;z-index:-252110848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Município: Canguçu</w:t>
                </w:r>
              </w:p>
              <w:p>
                <w:pPr>
                  <w:pStyle w:val="BodyText"/>
                  <w:spacing w:line="314" w:lineRule="auto" w:before="55"/>
                  <w:ind w:left="20" w:right="1571"/>
                </w:pPr>
                <w:r>
                  <w:rPr/>
                  <w:t>Estado: Estado do Rio Grande do Sul Período: 01/01/2020 até 31/12/2020</w:t>
                </w:r>
              </w:p>
              <w:p>
                <w:pPr>
                  <w:pStyle w:val="BodyText"/>
                  <w:spacing w:before="1"/>
                  <w:ind w:left="20"/>
                </w:pPr>
                <w:r>
                  <w:rPr/>
                  <w:t>Unidade Gestora: 0001 - CÂMARA MUNICIPAL DE VEREADORES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54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PRONIM</dc:creator>
  <dc:subject>Report</dc:subject>
  <dc:title>Report</dc:title>
  <dcterms:created xsi:type="dcterms:W3CDTF">2021-01-18T12:36:54Z</dcterms:created>
  <dcterms:modified xsi:type="dcterms:W3CDTF">2021-01-18T12:36:54Z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Stimulsoft Reports 2012.2.1400 from 13 September 2012</vt:lpwstr>
  </property>
  <property fmtid="{D5CDD505-2E9C-101B-9397-08002B2CF9AE}" pid="4" name="LastSaved">
    <vt:filetime>2021-01-18T00:00:00Z</vt:filetime>
  </property>
</Properties>
</file>