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E3" w:rsidRDefault="00967585">
      <w:pPr>
        <w:spacing w:after="81" w:line="259" w:lineRule="auto"/>
        <w:ind w:left="0" w:right="89" w:firstLine="0"/>
        <w:jc w:val="center"/>
      </w:pPr>
      <w:bookmarkStart w:id="0" w:name="_GoBack"/>
      <w:bookmarkEnd w:id="0"/>
      <w:r>
        <w:rPr>
          <w:b/>
          <w:sz w:val="26"/>
        </w:rPr>
        <w:t xml:space="preserve">ESTUDO TÉCNICO PRELIMINAR </w:t>
      </w:r>
    </w:p>
    <w:p w:rsidR="009D19E3" w:rsidRDefault="00967585">
      <w:pPr>
        <w:pStyle w:val="Heading1"/>
      </w:pPr>
      <w:r>
        <w:t xml:space="preserve">PROCESSO Nº 06/2026 - DISPENSA DE LICITAÇÃO </w:t>
      </w:r>
      <w:r>
        <w:rPr>
          <w:color w:val="000000"/>
        </w:rPr>
        <w:t>04</w:t>
      </w:r>
      <w:r>
        <w:t>/2026</w:t>
      </w:r>
      <w:r>
        <w:rPr>
          <w:color w:val="000000"/>
        </w:rPr>
        <w:t xml:space="preserve">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D19E3" w:rsidRDefault="00967585">
      <w:pPr>
        <w:pStyle w:val="Heading2"/>
        <w:spacing w:after="7"/>
        <w:ind w:left="355"/>
      </w:pPr>
      <w:r>
        <w:t xml:space="preserve">1. DO OBJETO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D19E3" w:rsidRDefault="00967585">
      <w:pPr>
        <w:spacing w:after="96"/>
        <w:ind w:left="355" w:right="12"/>
      </w:pPr>
      <w:r>
        <w:rPr>
          <w:b/>
        </w:rPr>
        <w:t xml:space="preserve">1.1. </w:t>
      </w:r>
      <w:r>
        <w:t xml:space="preserve">Licenças de software dos pontos de acesso e firewall e suporte, por meio de Dispensa de Licitação, </w:t>
      </w:r>
      <w:r>
        <w:t xml:space="preserve">conforme condições, quantidades e exigências estabelecidas no termo de Referência e Edital.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D19E3" w:rsidRDefault="00967585">
      <w:pPr>
        <w:pStyle w:val="Heading2"/>
        <w:spacing w:after="83"/>
        <w:ind w:left="355"/>
      </w:pPr>
      <w:r>
        <w:t xml:space="preserve">2. DESCRIÇÃO DA NECESSIDADE </w:t>
      </w:r>
    </w:p>
    <w:p w:rsidR="009D19E3" w:rsidRDefault="00967585">
      <w:pPr>
        <w:spacing w:after="101"/>
        <w:ind w:left="355" w:right="12"/>
      </w:pPr>
      <w:r>
        <w:t>A presente contratação visa garantir a segurança, integridade e continuidade da infraestrutura de rede da Câmara Municipal de Veread</w:t>
      </w:r>
      <w:r>
        <w:t xml:space="preserve">ores de Canguçu. </w:t>
      </w:r>
    </w:p>
    <w:p w:rsidR="009D19E3" w:rsidRDefault="00967585">
      <w:pPr>
        <w:spacing w:after="101"/>
        <w:ind w:left="355" w:right="12"/>
      </w:pPr>
      <w:r>
        <w:t xml:space="preserve">O firewall e os pontos de acesso sem fio são componentes essenciais para o controle e gerenciamento do tráfego de dados da rede institucional, sendo responsáveis pela proteção contra acessos não autorizados, ataques cibernéticos e outras </w:t>
      </w:r>
      <w:r>
        <w:t xml:space="preserve">ameaças digitais. </w:t>
      </w:r>
    </w:p>
    <w:p w:rsidR="009D19E3" w:rsidRDefault="00967585">
      <w:pPr>
        <w:spacing w:after="101"/>
        <w:ind w:left="355" w:right="12"/>
      </w:pPr>
      <w:r>
        <w:t>A contratação das licenças FortiCare Enterprise Protection para o firewall FortiGate 80F e FortiCare 24/7 para os access points FortiAP 231F possibilita o acesso a atualizações de segurança, filtros de conteúdo, sistemas de prevenção con</w:t>
      </w:r>
      <w:r>
        <w:t xml:space="preserve">tra intrusões e suporte técnico especializado. </w:t>
      </w:r>
    </w:p>
    <w:p w:rsidR="009D19E3" w:rsidRDefault="00967585">
      <w:pPr>
        <w:spacing w:after="101"/>
        <w:ind w:left="355" w:right="12"/>
      </w:pPr>
      <w:r>
        <w:t>Além disso, a contratação de suporte remoto especializado permitirá acompanhamento técnico contínuo, execução de atualizações de versão, resposta rápida a falhas e redução de eventuais períodos de indisponibi</w:t>
      </w:r>
      <w:r>
        <w:t xml:space="preserve">lidade dos sistemas. </w:t>
      </w:r>
    </w:p>
    <w:p w:rsidR="009D19E3" w:rsidRDefault="00967585">
      <w:pPr>
        <w:spacing w:after="101"/>
        <w:ind w:left="355" w:right="12"/>
      </w:pPr>
      <w:r>
        <w:t>Dessa forma, a contratação mostra-se indispensável para garantir a proteção dos ativos digitais da instituição, assegurar a continuidade dos serviços legislativos e manter a infraestrutura de rede alinhada às boas práticas de seguranç</w:t>
      </w:r>
      <w:r>
        <w:t xml:space="preserve">a da informação. </w:t>
      </w:r>
    </w:p>
    <w:p w:rsidR="009D19E3" w:rsidRDefault="00967585">
      <w:pPr>
        <w:spacing w:after="29"/>
        <w:ind w:left="355" w:right="12"/>
      </w:pPr>
      <w:r>
        <w:t xml:space="preserve">A contratação será realizada nos termos da Lei nº 14.133/2021, observando os princípios da legalidade, economicidade e eficiência.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D19E3" w:rsidRDefault="00967585">
      <w:pPr>
        <w:pStyle w:val="Heading2"/>
        <w:spacing w:after="117"/>
        <w:ind w:left="355"/>
      </w:pPr>
      <w:r>
        <w:t xml:space="preserve">3. ÁREA REQUISITANTE </w:t>
      </w:r>
    </w:p>
    <w:p w:rsidR="009D19E3" w:rsidRDefault="00967585">
      <w:pPr>
        <w:ind w:left="355" w:right="12"/>
      </w:pPr>
      <w:r>
        <w:t xml:space="preserve">A referida solicitação foi formalizada por iniciativa do Setor de </w:t>
      </w:r>
      <w:r>
        <w:t xml:space="preserve">TI e depois repassada para Coordenadoria da Presidência desta entidade, que verificou a necessidade de contratação especializada para atender às demandas institucionais, assegurando a regularidade e qualidade dos serviços.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D19E3" w:rsidRDefault="00967585">
      <w:pPr>
        <w:pStyle w:val="Heading2"/>
        <w:spacing w:after="107"/>
        <w:ind w:left="355"/>
      </w:pPr>
      <w:r>
        <w:t xml:space="preserve">4. REQUISITOS DA CONTRATAÇÃO </w:t>
      </w:r>
    </w:p>
    <w:p w:rsidR="009D19E3" w:rsidRDefault="00967585">
      <w:pPr>
        <w:spacing w:after="129"/>
        <w:ind w:left="355" w:right="12"/>
      </w:pPr>
      <w:r>
        <w:t>A contratada deverá fornecer as licenças de software e serviços de suporte técnico especializado para os equipamentos de rede Fortinet utilizados pela Câmara Municipal de Vereadores de Canguçu, em total conformidade com as especificações técnicas constante</w:t>
      </w:r>
      <w:r>
        <w:t xml:space="preserve">s no Termo de </w:t>
      </w:r>
      <w:r>
        <w:lastRenderedPageBreak/>
        <w:t>Referência. As licenças deverão possuir vigência de 12 (doze) meses, contemplando a subscrição FortiGate-80F Enterprise Protection para o firewall FG-80F e FortiAP-231F 24x7 FortiCare Contract para os access points AP231F, garantindo acesso a</w:t>
      </w:r>
      <w:r>
        <w:t xml:space="preserve"> atualizações de segurança, suporte técnico especializado e demais funcionalidades necessárias à proteção da infraestrutura de rede da instituição. </w:t>
      </w:r>
    </w:p>
    <w:p w:rsidR="009D19E3" w:rsidRDefault="00967585">
      <w:pPr>
        <w:spacing w:after="132"/>
        <w:ind w:left="355" w:right="12"/>
      </w:pPr>
      <w:r>
        <w:t>O serviço deverá incluir suporte remoto especializado, com disponibilidade de até 2 (duas) horas mensais, t</w:t>
      </w:r>
      <w:r>
        <w:t xml:space="preserve">otalizando 24 (vinte e quatro) horas anuais, contemplando atendimento técnico em regime 7x24h, acompanhamento da infraestrutura de rede, execução de atualizações de versão (upgrade) e atendimento para resolução de eventuais incidentes. </w:t>
      </w:r>
    </w:p>
    <w:p w:rsidR="009D19E3" w:rsidRDefault="00967585">
      <w:pPr>
        <w:spacing w:after="130"/>
        <w:ind w:left="355" w:right="12"/>
      </w:pPr>
      <w:r>
        <w:t>A contratada será r</w:t>
      </w:r>
      <w:r>
        <w:t xml:space="preserve">esponsável por todos os meios técnicos, operacionais e logísticos necessários à adequada execução dos serviços, garantindo a regularidade do suporte, a atualização dos sistemas e o pleno funcionamento dos equipamentos atendidos. </w:t>
      </w:r>
    </w:p>
    <w:p w:rsidR="009D19E3" w:rsidRDefault="00967585">
      <w:pPr>
        <w:spacing w:after="139"/>
        <w:ind w:left="355" w:right="12"/>
      </w:pPr>
      <w:r>
        <w:t>A execução deverá observar</w:t>
      </w:r>
      <w:r>
        <w:t xml:space="preserve"> a legislação vigente e as boas práticas de segurança da informação, garantindo a continuidade dos serviços institucionais, a proteção dos ativos digitais da Câmara Municipal e a eficiência da infraestrutura tecnológica utilizada pela Administração. </w:t>
      </w:r>
    </w:p>
    <w:p w:rsidR="009D19E3" w:rsidRDefault="00967585">
      <w:pPr>
        <w:spacing w:after="19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pStyle w:val="Heading2"/>
        <w:spacing w:after="110"/>
        <w:ind w:left="355"/>
      </w:pPr>
      <w:r>
        <w:t xml:space="preserve">5. </w:t>
      </w:r>
      <w:r>
        <w:t xml:space="preserve">LEVANTAMENTO DE MERCADO </w:t>
      </w:r>
    </w:p>
    <w:p w:rsidR="009D19E3" w:rsidRDefault="00967585">
      <w:pPr>
        <w:spacing w:after="130"/>
        <w:ind w:left="355" w:right="12"/>
      </w:pPr>
      <w:r>
        <w:t>Após análise da necessidade identificada no Documento de Formalização de Demanda (DFD), foi realizado levantamento de mercado junto a empresas especializados em soluções de segurança de rede e suporte técnico em equipamentos Fortin</w:t>
      </w:r>
      <w:r>
        <w:t xml:space="preserve">et, visando identificar fornecedores aptos a fornecer as licenças e serviços necessários. </w:t>
      </w:r>
    </w:p>
    <w:p w:rsidR="009D19E3" w:rsidRDefault="00967585">
      <w:pPr>
        <w:spacing w:after="139"/>
        <w:ind w:left="355" w:right="12"/>
      </w:pPr>
      <w:r>
        <w:t>As cotações obtidas serão utilizadas para formação do valor estimado da contratação, garantindo a compatibilidade com os preços praticados no mercado e observando os</w:t>
      </w:r>
      <w:r>
        <w:t xml:space="preserve"> princípios da economicidade e da vantajosidade para a Administração Pública. </w:t>
      </w:r>
    </w:p>
    <w:p w:rsidR="009D19E3" w:rsidRDefault="00967585">
      <w:pPr>
        <w:spacing w:after="19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pStyle w:val="Heading2"/>
        <w:ind w:left="355"/>
      </w:pPr>
      <w:r>
        <w:t xml:space="preserve">6. DESCRIÇÃO DA SOLUÇÃO COMO UM TODO </w:t>
      </w:r>
    </w:p>
    <w:p w:rsidR="009D19E3" w:rsidRDefault="00967585">
      <w:pPr>
        <w:ind w:left="355" w:right="91"/>
      </w:pPr>
      <w:r>
        <w:t>A solução proposta consiste na contratação de empresa especializada para fornecimento de licenças de software e suporte técnico para os e</w:t>
      </w:r>
      <w:r>
        <w:t xml:space="preserve">quipamentos de rede Fortinet utilizados pela Câmara Municipal de Canguçu. </w:t>
      </w:r>
    </w:p>
    <w:p w:rsidR="009D19E3" w:rsidRDefault="00967585">
      <w:pPr>
        <w:ind w:left="355" w:right="90"/>
      </w:pPr>
      <w:r>
        <w:t>A solução contempla a subscrição das licenças de segurança para o firewall FortiGate 80F e para os access points FortiAP 231F, além da contratação de suporte remoto especializado para acompanhamento técnico, atualização de sistemas e atendimento de inciden</w:t>
      </w:r>
      <w:r>
        <w:t xml:space="preserve">tes. </w:t>
      </w:r>
    </w:p>
    <w:p w:rsidR="009D19E3" w:rsidRDefault="00967585">
      <w:pPr>
        <w:spacing w:after="252"/>
        <w:ind w:left="355" w:right="93"/>
      </w:pPr>
      <w:r>
        <w:t xml:space="preserve">A contratação permitirá manter os equipamentos atualizados, protegidos contra ameaças digitais e operando com suporte técnico adequado, garantindo maior segurança da informação e continuidade dos serviços institucionais. </w:t>
      </w:r>
    </w:p>
    <w:p w:rsidR="009D19E3" w:rsidRDefault="00967585">
      <w:pPr>
        <w:pStyle w:val="Heading2"/>
        <w:spacing w:after="232"/>
        <w:ind w:left="355"/>
      </w:pPr>
      <w:r>
        <w:t>7. JUSTIFICATIVA PARA PARCEL</w:t>
      </w:r>
      <w:r>
        <w:t xml:space="preserve">AMENTO OU NÃO DA SOLUÇÃO </w:t>
      </w:r>
    </w:p>
    <w:p w:rsidR="009D19E3" w:rsidRDefault="00967585">
      <w:pPr>
        <w:spacing w:after="142"/>
        <w:ind w:left="355" w:right="12"/>
      </w:pPr>
      <w:r>
        <w:t xml:space="preserve">A contratação será realizada em lote único, considerando a natureza integrada da solução de segurança de rede, bem como a necessidade de compatibilidade entre licenças, equipamentos e serviços de suporte técnico. </w:t>
      </w:r>
    </w:p>
    <w:p w:rsidR="009D19E3" w:rsidRDefault="00967585">
      <w:pPr>
        <w:ind w:left="355" w:right="12"/>
      </w:pPr>
      <w:r>
        <w:t>O parcelamento p</w:t>
      </w:r>
      <w:r>
        <w:t xml:space="preserve">oderia comprometer a eficiência da contratação, a padronização do suporte técnico e a responsabilidade pelo funcionamento adequado da solução, não se mostrando vantajoso para a Administração. </w:t>
      </w:r>
    </w:p>
    <w:p w:rsidR="009D19E3" w:rsidRDefault="00967585">
      <w:pPr>
        <w:spacing w:after="16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pStyle w:val="Heading2"/>
        <w:spacing w:after="233"/>
        <w:ind w:left="355"/>
      </w:pPr>
      <w:r>
        <w:t xml:space="preserve">8. RESULTADOS PRETENDIDOS </w:t>
      </w:r>
    </w:p>
    <w:p w:rsidR="009D19E3" w:rsidRDefault="00967585">
      <w:pPr>
        <w:spacing w:after="1"/>
        <w:ind w:left="355" w:right="12"/>
      </w:pPr>
      <w:r>
        <w:t>Os principais resultados pretendid</w:t>
      </w:r>
      <w:r>
        <w:t xml:space="preserve">os com a contratação são: garantir a segurança da infraestrutura de rede da Câmara Municipal; assegurar proteção contra ataques cibernéticos e acessos indevidos; manter os equipamentos atualizados com as últimas versões e correções de segurança; reduzir o </w:t>
      </w:r>
      <w:r>
        <w:t xml:space="preserve">tempo de indisponibilidade dos serviços de rede; e melhorar a eficiência operacional da infraestrutura tecnológica da instituição.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D19E3" w:rsidRDefault="00967585">
      <w:pPr>
        <w:pStyle w:val="Heading2"/>
        <w:ind w:left="355"/>
      </w:pPr>
      <w:r>
        <w:t xml:space="preserve">9. POSSÍVEIS IMPACTOS AMBIENTAIS </w:t>
      </w:r>
    </w:p>
    <w:p w:rsidR="009D19E3" w:rsidRDefault="00967585">
      <w:pPr>
        <w:ind w:left="355" w:right="91"/>
      </w:pPr>
      <w:r>
        <w:t>Os impactos ambientais decorrentes da contratação podem variar conforme a natureza do ob</w:t>
      </w:r>
      <w:r>
        <w:t xml:space="preserve">jeto, sendo geralmente mínimos, por se tratar predominantemente de contratação de licenças de software e serviços de suporte técnico especializado. </w:t>
      </w:r>
    </w:p>
    <w:p w:rsidR="009D19E3" w:rsidRDefault="00967585">
      <w:pPr>
        <w:ind w:left="355" w:right="88"/>
      </w:pPr>
      <w:r>
        <w:t>Sempre que aplicável, deverão ser observadas boas práticas relacionadas ao uso racional de recursos tecnoló</w:t>
      </w:r>
      <w:r>
        <w:t xml:space="preserve">gicos e energéticos, bem como à adequada gestão de equipamentos eletrônicos utilizados na infraestrutura de rede. </w:t>
      </w:r>
    </w:p>
    <w:p w:rsidR="009D19E3" w:rsidRDefault="00967585">
      <w:pPr>
        <w:spacing w:after="16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pStyle w:val="Heading2"/>
        <w:ind w:left="355"/>
      </w:pPr>
      <w:r>
        <w:t xml:space="preserve">10. ANÁLISE DE RISCOS DA AQUISIÇÃO </w:t>
      </w:r>
    </w:p>
    <w:p w:rsidR="009D19E3" w:rsidRDefault="00967585">
      <w:pPr>
        <w:ind w:left="355" w:right="89"/>
      </w:pPr>
      <w:r>
        <w:t xml:space="preserve">Foram identificados riscos potenciais relacionados à execução do objeto contratado, os quais podem comprometer a segurança da infraestrutura de rede, a continuidade dos serviços institucionais ou a regularidade das atividades da Câmara Municipal. Entre os </w:t>
      </w:r>
      <w:r>
        <w:t>principais riscos estão: atraso na disponibilização das licenças e serviços contratados; indisponibilidade ou falhas no suporte técnico especializado; e eventual incompatibilidade ou funcionamento inadequado das licenças com os equipamentos de rede utiliza</w:t>
      </w:r>
      <w:r>
        <w:t xml:space="preserve">dos pela instituição. </w:t>
      </w:r>
    </w:p>
    <w:p w:rsidR="009D19E3" w:rsidRDefault="00967585">
      <w:pPr>
        <w:ind w:left="355" w:right="90"/>
      </w:pPr>
      <w:r>
        <w:t xml:space="preserve">Os riscos poderão ser mitigados por meio de especificação clara no Termo de Referência, definição adequada dos requisitos técnicos e dos prazos de vigência das licenças e do suporte contratado, bem como acompanhamento e fiscalização </w:t>
      </w:r>
      <w:r>
        <w:t>da execução dos serviços pela Administração. Também poderão ser adotadas medidas administrativas cabíveis em caso de descumprimento das obrigações contratuais, conforme previsto no Termo de Referência e no instrumento que formalizará a contratação, com o o</w:t>
      </w:r>
      <w:r>
        <w:t xml:space="preserve">bjetivo de assegurar a execução do objeto dentro dos padrões de qualidade, segurança, prazos e eficiência exigidos pela Administração. </w:t>
      </w:r>
    </w:p>
    <w:p w:rsidR="009D19E3" w:rsidRDefault="00967585">
      <w:pPr>
        <w:spacing w:after="184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spacing w:after="185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spacing w:after="184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spacing w:after="16" w:line="259" w:lineRule="auto"/>
        <w:ind w:left="360" w:right="0" w:firstLine="0"/>
        <w:jc w:val="left"/>
      </w:pPr>
      <w:r>
        <w:t xml:space="preserve"> </w:t>
      </w:r>
    </w:p>
    <w:p w:rsidR="009D19E3" w:rsidRDefault="00967585">
      <w:pPr>
        <w:pStyle w:val="Heading2"/>
        <w:ind w:left="355"/>
      </w:pPr>
      <w:r>
        <w:t xml:space="preserve">11. DECLARAÇÃO DE VIABILIDADE </w:t>
      </w:r>
    </w:p>
    <w:p w:rsidR="009D19E3" w:rsidRDefault="00967585">
      <w:pPr>
        <w:spacing w:after="1"/>
        <w:ind w:left="355" w:right="91"/>
      </w:pPr>
      <w:r>
        <w:t>Com base na justificativa constante neste Estudo, nas especificações técnicas c</w:t>
      </w:r>
      <w:r>
        <w:t xml:space="preserve">onstantes no DFD (Documento Formalizador de Demanda) e na existência de planejamento orçamentário para subsidiar esta contratação, declaro que a contratação é viável, atendendo aos padrões e preços de mercado.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19E3" w:rsidRDefault="00967585">
      <w:pPr>
        <w:spacing w:after="7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19E3" w:rsidRDefault="0096758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19E3" w:rsidRDefault="00967585">
      <w:pPr>
        <w:spacing w:after="86" w:line="259" w:lineRule="auto"/>
        <w:ind w:left="319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61463" cy="8890"/>
                <wp:effectExtent l="0" t="0" r="0" b="0"/>
                <wp:docPr id="3968" name="Group 3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63" cy="8890"/>
                          <a:chOff x="0" y="0"/>
                          <a:chExt cx="2561463" cy="8890"/>
                        </a:xfrm>
                      </wpg:grpSpPr>
                      <wps:wsp>
                        <wps:cNvPr id="539" name="Shape 539"/>
                        <wps:cNvSpPr/>
                        <wps:spPr>
                          <a:xfrm>
                            <a:off x="0" y="0"/>
                            <a:ext cx="2561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463">
                                <a:moveTo>
                                  <a:pt x="0" y="0"/>
                                </a:moveTo>
                                <a:lnTo>
                                  <a:pt x="2561463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8" style="width:201.69pt;height:0.7pt;mso-position-horizontal-relative:char;mso-position-vertical-relative:line" coordsize="25614,88">
                <v:shape id="Shape 539" style="position:absolute;width:25614;height:0;left:0;top:0;" coordsize="2561463,0" path="m0,0l2561463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D19E3" w:rsidRDefault="00967585">
      <w:pPr>
        <w:spacing w:after="4" w:line="259" w:lineRule="auto"/>
        <w:ind w:left="694" w:right="0" w:firstLine="0"/>
        <w:jc w:val="center"/>
      </w:pPr>
      <w:r>
        <w:rPr>
          <w:b/>
        </w:rPr>
        <w:t xml:space="preserve">CARLOS EDUARDO DOMINGUES MARTINS </w:t>
      </w:r>
    </w:p>
    <w:p w:rsidR="009D19E3" w:rsidRDefault="00967585">
      <w:pPr>
        <w:spacing w:after="0" w:line="259" w:lineRule="auto"/>
        <w:ind w:left="694" w:right="0" w:firstLine="0"/>
        <w:jc w:val="center"/>
      </w:pPr>
      <w:r>
        <w:t xml:space="preserve">Presidente da Câmara Municipal de Canguçu </w:t>
      </w:r>
    </w:p>
    <w:sectPr w:rsidR="009D19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26" w:right="1421" w:bottom="714" w:left="1080" w:header="169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7585">
      <w:pPr>
        <w:spacing w:after="0" w:line="240" w:lineRule="auto"/>
      </w:pPr>
      <w:r>
        <w:separator/>
      </w:r>
    </w:p>
  </w:endnote>
  <w:endnote w:type="continuationSeparator" w:id="0">
    <w:p w:rsidR="00000000" w:rsidRDefault="0096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E3" w:rsidRDefault="00967585">
    <w:pPr>
      <w:tabs>
        <w:tab w:val="center" w:pos="513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20"/>
        <w:bdr w:val="single" w:sz="12" w:space="0" w:color="000000"/>
      </w:rPr>
      <w:t>“DOE SANGUE, DOE ÓRGÃOS, SALVE UMA VIDA!”</w:t>
    </w:r>
    <w:r>
      <w:rPr>
        <w:b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E3" w:rsidRDefault="00967585">
    <w:pPr>
      <w:tabs>
        <w:tab w:val="center" w:pos="513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20"/>
        <w:bdr w:val="single" w:sz="12" w:space="0" w:color="000000"/>
      </w:rPr>
      <w:t>“DOE SANGUE, DOE ÓRGÃOS, SALVE UMA VIDA!”</w:t>
    </w:r>
    <w:r>
      <w:rPr>
        <w:b/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E3" w:rsidRDefault="00967585">
    <w:pPr>
      <w:tabs>
        <w:tab w:val="center" w:pos="513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20"/>
        <w:bdr w:val="single" w:sz="12" w:space="0" w:color="000000"/>
      </w:rPr>
      <w:t>“DOE SANGUE, DOE ÓRGÃOS,</w:t>
    </w:r>
    <w:r>
      <w:rPr>
        <w:b/>
        <w:i/>
        <w:sz w:val="20"/>
        <w:bdr w:val="single" w:sz="12" w:space="0" w:color="000000"/>
      </w:rPr>
      <w:t xml:space="preserve"> SALVE UMA VIDA!”</w:t>
    </w:r>
    <w:r>
      <w:rPr>
        <w:b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7585">
      <w:pPr>
        <w:spacing w:after="0" w:line="240" w:lineRule="auto"/>
      </w:pPr>
      <w:r>
        <w:separator/>
      </w:r>
    </w:p>
  </w:footnote>
  <w:footnote w:type="continuationSeparator" w:id="0">
    <w:p w:rsidR="00000000" w:rsidRDefault="0096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E3" w:rsidRDefault="00967585">
    <w:pPr>
      <w:spacing w:after="1193" w:line="259" w:lineRule="auto"/>
      <w:ind w:left="0" w:right="413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3523615</wp:posOffset>
          </wp:positionH>
          <wp:positionV relativeFrom="page">
            <wp:posOffset>192405</wp:posOffset>
          </wp:positionV>
          <wp:extent cx="723900" cy="741680"/>
          <wp:effectExtent l="0" t="0" r="0" b="0"/>
          <wp:wrapSquare wrapText="bothSides"/>
          <wp:docPr id="65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32" w:right="0" w:firstLine="0"/>
      <w:jc w:val="center"/>
    </w:pPr>
    <w:r>
      <w:rPr>
        <w:sz w:val="24"/>
      </w:rPr>
      <w:t xml:space="preserve">CÂMARA MUNICIPAL DE CANGUÇU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51" w:right="0" w:firstLine="0"/>
      <w:jc w:val="center"/>
    </w:pPr>
    <w:r>
      <w:rPr>
        <w:b/>
      </w:rPr>
      <w:t xml:space="preserve">ESTADO DO RIO GRANDE DO SUL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63" w:right="0" w:firstLine="0"/>
      <w:jc w:val="left"/>
    </w:pPr>
    <w:r>
      <w:rPr>
        <w:sz w:val="20"/>
      </w:rPr>
      <w:t>Rua General Osório, 979. Centro. CEP:96600-000. Canguçu</w:t>
    </w:r>
    <w:r>
      <w:rPr>
        <w:sz w:val="20"/>
      </w:rPr>
      <w:t>–</w:t>
    </w:r>
    <w:r>
      <w:rPr>
        <w:sz w:val="20"/>
      </w:rPr>
      <w:t xml:space="preserve">RS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56" w:right="0" w:firstLine="0"/>
      <w:jc w:val="center"/>
    </w:pPr>
    <w:r>
      <w:rPr>
        <w:sz w:val="20"/>
      </w:rPr>
      <w:t>Telefone: (53) 3252-</w:t>
    </w:r>
    <w:r>
      <w:rPr>
        <w:sz w:val="20"/>
      </w:rPr>
      <w:t xml:space="preserve">1528.http://camaracangucu.rs.gov.br/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E3" w:rsidRDefault="00967585">
    <w:pPr>
      <w:spacing w:after="1193" w:line="259" w:lineRule="auto"/>
      <w:ind w:left="0" w:right="413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3523615</wp:posOffset>
          </wp:positionH>
          <wp:positionV relativeFrom="page">
            <wp:posOffset>192405</wp:posOffset>
          </wp:positionV>
          <wp:extent cx="723900" cy="74168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32" w:right="0" w:firstLine="0"/>
      <w:jc w:val="center"/>
    </w:pPr>
    <w:r>
      <w:rPr>
        <w:sz w:val="24"/>
      </w:rPr>
      <w:t xml:space="preserve">CÂMARA MUNICIPAL DE CANGUÇU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51" w:right="0" w:firstLine="0"/>
      <w:jc w:val="center"/>
    </w:pPr>
    <w:r>
      <w:rPr>
        <w:b/>
      </w:rPr>
      <w:t xml:space="preserve">ESTADO DO RIO GRANDE DO SUL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63" w:right="0" w:firstLine="0"/>
      <w:jc w:val="left"/>
    </w:pPr>
    <w:r>
      <w:rPr>
        <w:sz w:val="20"/>
      </w:rPr>
      <w:t>Rua General Osório, 979. Centro. CEP:96600-000. Canguçu</w:t>
    </w:r>
    <w:r>
      <w:rPr>
        <w:sz w:val="20"/>
      </w:rPr>
      <w:t>–</w:t>
    </w:r>
    <w:r>
      <w:rPr>
        <w:sz w:val="20"/>
      </w:rPr>
      <w:t xml:space="preserve">RS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56" w:right="0" w:firstLine="0"/>
      <w:jc w:val="center"/>
    </w:pPr>
    <w:r>
      <w:rPr>
        <w:sz w:val="20"/>
      </w:rPr>
      <w:t xml:space="preserve">Telefone: (53) 3252-1528.http://camaracangucu.rs.gov.br/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E3" w:rsidRDefault="00967585">
    <w:pPr>
      <w:spacing w:after="1193" w:line="259" w:lineRule="auto"/>
      <w:ind w:left="0" w:right="413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3523615</wp:posOffset>
          </wp:positionH>
          <wp:positionV relativeFrom="page">
            <wp:posOffset>192405</wp:posOffset>
          </wp:positionV>
          <wp:extent cx="723900" cy="7416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32" w:right="0" w:firstLine="0"/>
      <w:jc w:val="center"/>
    </w:pPr>
    <w:r>
      <w:rPr>
        <w:sz w:val="24"/>
      </w:rPr>
      <w:t xml:space="preserve">CÂMARA MUNICIPAL DE CANGUÇU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51" w:right="0" w:firstLine="0"/>
      <w:jc w:val="center"/>
    </w:pPr>
    <w:r>
      <w:rPr>
        <w:b/>
      </w:rPr>
      <w:t xml:space="preserve">ESTADO </w:t>
    </w:r>
    <w:r>
      <w:rPr>
        <w:b/>
      </w:rPr>
      <w:t xml:space="preserve">DO RIO GRANDE DO SUL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63" w:right="0" w:firstLine="0"/>
      <w:jc w:val="left"/>
    </w:pPr>
    <w:r>
      <w:rPr>
        <w:sz w:val="20"/>
      </w:rPr>
      <w:t>Rua General Osório, 979. Centro. CEP:96600-000. Canguçu</w:t>
    </w:r>
    <w:r>
      <w:rPr>
        <w:sz w:val="20"/>
      </w:rPr>
      <w:t>–</w:t>
    </w:r>
    <w:r>
      <w:rPr>
        <w:sz w:val="20"/>
      </w:rPr>
      <w:t xml:space="preserve">RS </w:t>
    </w:r>
  </w:p>
  <w:p w:rsidR="009D19E3" w:rsidRDefault="00967585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56" w:right="0" w:firstLine="0"/>
      <w:jc w:val="center"/>
    </w:pPr>
    <w:r>
      <w:rPr>
        <w:sz w:val="20"/>
      </w:rPr>
      <w:t xml:space="preserve">Telefone: (53) 3252-1528.http://camaracangucu.rs.gov.br/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E3"/>
    <w:rsid w:val="00967585"/>
    <w:rsid w:val="009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C9803C7-433B-4500-AC95-FA450584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8" w:line="275" w:lineRule="auto"/>
      <w:ind w:left="370" w:right="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1"/>
      <w:ind w:left="2000"/>
      <w:outlineLvl w:val="0"/>
    </w:pPr>
    <w:rPr>
      <w:rFonts w:ascii="Arial" w:eastAsia="Arial" w:hAnsi="Arial" w:cs="Arial"/>
      <w:color w:val="33333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7"/>
      <w:ind w:left="37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6706</Characters>
  <Application>Microsoft Office Word</Application>
  <DocSecurity>4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:subject/>
  <dc:creator>Eliza Pinto</dc:creator>
  <cp:keywords/>
  <cp:lastModifiedBy>word</cp:lastModifiedBy>
  <cp:revision>2</cp:revision>
  <dcterms:created xsi:type="dcterms:W3CDTF">2026-04-01T16:16:00Z</dcterms:created>
  <dcterms:modified xsi:type="dcterms:W3CDTF">2026-04-01T16:16:00Z</dcterms:modified>
</cp:coreProperties>
</file>