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100"/>
        <w:rPr>
          <w:rFonts w:ascii="Arial MT"/>
        </w:rPr>
      </w:pPr>
      <w:r>
        <w:rPr>
          <w:rFonts w:ascii="Arial MT"/>
          <w:spacing w:val="-1"/>
        </w:rPr>
        <w:t>DocuSign</w:t>
      </w:r>
      <w:r>
        <w:rPr>
          <w:rFonts w:ascii="Arial MT"/>
          <w:spacing w:val="-10"/>
        </w:rPr>
        <w:t> </w:t>
      </w:r>
      <w:r>
        <w:rPr>
          <w:rFonts w:ascii="Arial MT"/>
          <w:spacing w:val="-1"/>
        </w:rPr>
        <w:t>Envelope</w:t>
      </w:r>
      <w:r>
        <w:rPr>
          <w:rFonts w:ascii="Arial MT"/>
          <w:spacing w:val="-10"/>
        </w:rPr>
        <w:t> </w:t>
      </w:r>
      <w:r>
        <w:rPr>
          <w:rFonts w:ascii="Arial MT"/>
        </w:rPr>
        <w:t>ID:</w:t>
      </w:r>
      <w:r>
        <w:rPr>
          <w:rFonts w:ascii="Arial MT"/>
          <w:spacing w:val="-9"/>
        </w:rPr>
        <w:t> </w:t>
      </w:r>
      <w:r>
        <w:rPr>
          <w:rFonts w:ascii="Arial MT"/>
        </w:rPr>
        <w:t>D0E34EE2-51E5-4FB2-8539-E556DBF49323</w:t>
      </w:r>
    </w:p>
    <w:p>
      <w:pPr>
        <w:pStyle w:val="BodyText"/>
        <w:spacing w:before="0"/>
        <w:rPr>
          <w:rFonts w:ascii="Arial MT"/>
          <w:sz w:val="20"/>
        </w:rPr>
      </w:pPr>
    </w:p>
    <w:p>
      <w:pPr>
        <w:pStyle w:val="BodyText"/>
        <w:spacing w:before="0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1"/>
        </w:rPr>
      </w:pPr>
      <w:r>
        <w:rPr/>
        <w:pict>
          <v:group style="position:absolute;margin-left:36.959999pt;margin-top:14.542352pt;width:449.8pt;height:67.6pt;mso-position-horizontal-relative:page;mso-position-vertical-relative:paragraph;z-index:-15728640;mso-wrap-distance-left:0;mso-wrap-distance-right:0" coordorigin="739,291" coordsize="8996,1352">
            <v:rect style="position:absolute;left:3998;top:307;width:5736;height:1335" filled="true" fillcolor="#dbdbdb" stroked="false">
              <v:fill type="solid"/>
            </v:rect>
            <v:shape style="position:absolute;left:739;top:290;width:3857;height:133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98;top:307;width:5736;height:1335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line="256" w:lineRule="auto" w:before="1"/>
                      <w:ind w:left="1706" w:right="1296" w:hanging="207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PLANILHA ANALÍTICA DE</w:t>
                    </w:r>
                    <w:r>
                      <w:rPr>
                        <w:b/>
                        <w:spacing w:val="-4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ENCARGOS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SOCIAIS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 w:after="1"/>
        <w:rPr>
          <w:rFonts w:ascii="Arial MT"/>
        </w:rPr>
      </w:pPr>
    </w:p>
    <w:tbl>
      <w:tblPr>
        <w:tblW w:w="0" w:type="auto"/>
        <w:jc w:val="left"/>
        <w:tblInd w:w="1935" w:type="dxa"/>
        <w:tblBorders>
          <w:top w:val="double" w:sz="2" w:space="0" w:color="3E3E3E"/>
          <w:left w:val="double" w:sz="2" w:space="0" w:color="3E3E3E"/>
          <w:bottom w:val="double" w:sz="2" w:space="0" w:color="3E3E3E"/>
          <w:right w:val="double" w:sz="2" w:space="0" w:color="3E3E3E"/>
          <w:insideH w:val="double" w:sz="2" w:space="0" w:color="3E3E3E"/>
          <w:insideV w:val="double" w:sz="2" w:space="0" w:color="3E3E3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7" w:hRule="atLeast"/>
        </w:trPr>
        <w:tc>
          <w:tcPr>
            <w:tcW w:w="439" w:type="dxa"/>
            <w:shd w:val="clear" w:color="auto" w:fill="A5A5A5"/>
          </w:tcPr>
          <w:p>
            <w:pPr>
              <w:pStyle w:val="TableParagraph"/>
              <w:spacing w:line="177" w:lineRule="exact"/>
              <w:ind w:left="51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COD</w:t>
            </w:r>
          </w:p>
        </w:tc>
        <w:tc>
          <w:tcPr>
            <w:tcW w:w="2832" w:type="dxa"/>
            <w:shd w:val="clear" w:color="auto" w:fill="A5A5A5"/>
          </w:tcPr>
          <w:p>
            <w:pPr>
              <w:pStyle w:val="TableParagraph"/>
              <w:spacing w:line="177" w:lineRule="exact"/>
              <w:ind w:left="47" w:right="2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DESCRIÇÃO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172"/>
              <w:jc w:val="left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HORA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80" w:right="5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MÊS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80" w:right="52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HORA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  <w:shd w:val="clear" w:color="auto" w:fill="A5A5A5"/>
          </w:tcPr>
          <w:p>
            <w:pPr>
              <w:pStyle w:val="TableParagraph"/>
              <w:spacing w:line="177" w:lineRule="exact"/>
              <w:ind w:left="80" w:right="53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MÊS</w:t>
            </w:r>
          </w:p>
        </w:tc>
      </w:tr>
      <w:tr>
        <w:trPr>
          <w:trHeight w:val="173" w:hRule="atLeast"/>
        </w:trPr>
        <w:tc>
          <w:tcPr>
            <w:tcW w:w="3271" w:type="dxa"/>
            <w:gridSpan w:val="2"/>
            <w:tcBorders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4"/>
          </w:tcPr>
          <w:p>
            <w:pPr>
              <w:pStyle w:val="TableParagraph"/>
              <w:spacing w:line="154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DESONERADO</w:t>
            </w: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4"/>
          </w:tcPr>
          <w:p>
            <w:pPr>
              <w:pStyle w:val="TableParagraph"/>
              <w:spacing w:line="154" w:lineRule="exact"/>
              <w:ind w:left="263"/>
              <w:jc w:val="left"/>
              <w:rPr>
                <w:sz w:val="16"/>
              </w:rPr>
            </w:pPr>
            <w:r>
              <w:rPr>
                <w:sz w:val="16"/>
              </w:rPr>
              <w:t>DESONERADO</w:t>
            </w:r>
          </w:p>
        </w:tc>
      </w:tr>
      <w:tr>
        <w:trPr>
          <w:trHeight w:val="186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>
            <w:pPr>
              <w:pStyle w:val="TableParagraph"/>
              <w:spacing w:line="166" w:lineRule="exact"/>
              <w:ind w:left="27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A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>
            <w:pPr>
              <w:pStyle w:val="TableParagraph"/>
              <w:spacing w:line="166" w:lineRule="exact"/>
              <w:ind w:left="98" w:right="71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A</w:t>
            </w:r>
          </w:p>
        </w:tc>
        <w:tc>
          <w:tcPr>
            <w:tcW w:w="290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sz w:val="16"/>
              </w:rPr>
              <w:t>INSS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20.00%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20.00%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 w:right="71"/>
              <w:rPr>
                <w:sz w:val="16"/>
              </w:rPr>
            </w:pPr>
            <w:r>
              <w:rPr>
                <w:sz w:val="16"/>
              </w:rPr>
              <w:t>SESI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1.50%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A3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SENAI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1.00%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A4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" w:right="71"/>
              <w:rPr>
                <w:sz w:val="16"/>
              </w:rPr>
            </w:pPr>
            <w:r>
              <w:rPr>
                <w:sz w:val="16"/>
              </w:rPr>
              <w:t>INCRA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0.20%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A5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sz w:val="16"/>
              </w:rPr>
              <w:t>SEBRAE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0.60%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A6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SALÁRIO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EDUCAÇÃO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2.50%</w:t>
            </w:r>
          </w:p>
        </w:tc>
      </w:tr>
      <w:tr>
        <w:trPr>
          <w:trHeight w:val="409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Arial MT"/>
                <w:sz w:val="18"/>
              </w:rPr>
            </w:pPr>
          </w:p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A7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91" w:right="71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ACIDENTES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5" w:lineRule="exact" w:before="13"/>
              <w:ind w:left="92" w:right="71"/>
              <w:rPr>
                <w:sz w:val="16"/>
              </w:rPr>
            </w:pPr>
            <w:r>
              <w:rPr>
                <w:sz w:val="16"/>
              </w:rPr>
              <w:t>TRABALHO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right="68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right="67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right="67"/>
              <w:rPr>
                <w:sz w:val="16"/>
              </w:rPr>
            </w:pPr>
            <w:r>
              <w:rPr>
                <w:sz w:val="16"/>
              </w:rPr>
              <w:t>3.00%</w:t>
            </w:r>
          </w:p>
        </w:tc>
      </w:tr>
      <w:tr>
        <w:trPr>
          <w:trHeight w:val="193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A8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sz w:val="16"/>
              </w:rPr>
              <w:t>FGTS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8.00%</w:t>
            </w:r>
          </w:p>
        </w:tc>
      </w:tr>
      <w:tr>
        <w:trPr>
          <w:trHeight w:val="200" w:hRule="atLeast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A9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99" w:right="71"/>
              <w:rPr>
                <w:sz w:val="16"/>
              </w:rPr>
            </w:pPr>
            <w:r>
              <w:rPr>
                <w:sz w:val="16"/>
              </w:rPr>
              <w:t>SECONCI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right="68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>
        <w:trPr>
          <w:trHeight w:val="401" w:hRule="atLeast"/>
        </w:trPr>
        <w:tc>
          <w:tcPr>
            <w:tcW w:w="439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shd w:val="clear" w:color="auto" w:fill="A5A5A5"/>
          </w:tcPr>
          <w:p>
            <w:pPr>
              <w:pStyle w:val="TableParagraph"/>
              <w:spacing w:line="240" w:lineRule="auto" w:before="86"/>
              <w:ind w:left="49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DOS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ENCARGOS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SOCIAIS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BÁSICOS</w:t>
            </w:r>
          </w:p>
        </w:tc>
        <w:tc>
          <w:tcPr>
            <w:tcW w:w="792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36.80%</w:t>
            </w:r>
          </w:p>
        </w:tc>
        <w:tc>
          <w:tcPr>
            <w:tcW w:w="703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36.80%</w:t>
            </w:r>
          </w:p>
        </w:tc>
        <w:tc>
          <w:tcPr>
            <w:tcW w:w="703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16.80%</w:t>
            </w:r>
          </w:p>
        </w:tc>
        <w:tc>
          <w:tcPr>
            <w:tcW w:w="703" w:type="dxa"/>
            <w:shd w:val="clear" w:color="auto" w:fill="A5A5A5"/>
          </w:tcPr>
          <w:p>
            <w:pPr>
              <w:pStyle w:val="TableParagraph"/>
              <w:spacing w:line="240" w:lineRule="auto" w:before="94"/>
              <w:ind w:left="8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16.80%</w:t>
            </w:r>
          </w:p>
        </w:tc>
      </w:tr>
    </w:tbl>
    <w:p>
      <w:pPr>
        <w:pStyle w:val="BodyText"/>
        <w:rPr>
          <w:rFonts w:ascii="Arial MT"/>
          <w:sz w:val="17"/>
        </w:rPr>
      </w:pPr>
    </w:p>
    <w:tbl>
      <w:tblPr>
        <w:tblW w:w="0" w:type="auto"/>
        <w:jc w:val="left"/>
        <w:tblInd w:w="1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439" w:type="dxa"/>
            <w:shd w:val="clear" w:color="auto" w:fill="FFFFCC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B</w:t>
            </w:r>
          </w:p>
        </w:tc>
        <w:tc>
          <w:tcPr>
            <w:tcW w:w="2832" w:type="dxa"/>
            <w:shd w:val="clear" w:color="auto" w:fill="FFFFCC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B</w:t>
            </w:r>
          </w:p>
        </w:tc>
        <w:tc>
          <w:tcPr>
            <w:tcW w:w="290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Repouso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Remunerado</w:t>
            </w:r>
          </w:p>
        </w:tc>
        <w:tc>
          <w:tcPr>
            <w:tcW w:w="792" w:type="dxa"/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17.93%</w:t>
            </w:r>
          </w:p>
        </w:tc>
        <w:tc>
          <w:tcPr>
            <w:tcW w:w="703" w:type="dxa"/>
          </w:tcPr>
          <w:p>
            <w:pPr>
              <w:pStyle w:val="TableParagraph"/>
              <w:ind w:left="23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  <w:tc>
          <w:tcPr>
            <w:tcW w:w="703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17.93%</w:t>
            </w:r>
          </w:p>
        </w:tc>
        <w:tc>
          <w:tcPr>
            <w:tcW w:w="703" w:type="dxa"/>
            <w:tcBorders>
              <w:right w:val="nil"/>
            </w:tcBorders>
          </w:tcPr>
          <w:p>
            <w:pPr>
              <w:pStyle w:val="TableParagraph"/>
              <w:ind w:left="14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Feriados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4.24%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4.24%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2832" w:type="dxa"/>
          </w:tcPr>
          <w:p>
            <w:pPr>
              <w:pStyle w:val="TableParagraph"/>
              <w:ind w:left="64" w:right="71"/>
              <w:rPr>
                <w:sz w:val="16"/>
              </w:rPr>
            </w:pPr>
            <w:r>
              <w:rPr>
                <w:sz w:val="16"/>
              </w:rPr>
              <w:t>Auxílio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Enfermidades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0.89%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0.69%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0.89%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0.69%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13º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salário</w:t>
            </w:r>
          </w:p>
        </w:tc>
        <w:tc>
          <w:tcPr>
            <w:tcW w:w="792" w:type="dxa"/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10.77%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8.33%</w:t>
            </w:r>
          </w:p>
        </w:tc>
        <w:tc>
          <w:tcPr>
            <w:tcW w:w="703" w:type="dxa"/>
          </w:tcPr>
          <w:p>
            <w:pPr>
              <w:pStyle w:val="TableParagraph"/>
              <w:ind w:right="70"/>
              <w:rPr>
                <w:sz w:val="16"/>
              </w:rPr>
            </w:pPr>
            <w:r>
              <w:rPr>
                <w:sz w:val="16"/>
              </w:rPr>
              <w:t>10.77%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8.33%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Licença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Paternidade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0.07%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0.06%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0.07%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0.06%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B6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pacing w:val="-1"/>
                <w:sz w:val="16"/>
              </w:rPr>
              <w:t>Faltas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Justificativas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0.72%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0.56%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0.72%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0.56%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B7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Dias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chuvas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1.53%</w:t>
            </w:r>
          </w:p>
        </w:tc>
        <w:tc>
          <w:tcPr>
            <w:tcW w:w="703" w:type="dxa"/>
          </w:tcPr>
          <w:p>
            <w:pPr>
              <w:pStyle w:val="TableParagraph"/>
              <w:ind w:left="23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1.53%</w:t>
            </w:r>
          </w:p>
        </w:tc>
        <w:tc>
          <w:tcPr>
            <w:tcW w:w="703" w:type="dxa"/>
          </w:tcPr>
          <w:p>
            <w:pPr>
              <w:pStyle w:val="TableParagraph"/>
              <w:ind w:left="24" w:right="-1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incide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B8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Auxilio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acidadente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trabalho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0.11%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0.11%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0.09%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B9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Férias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gozadas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7.40%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5.72%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7.40%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5.72%</w:t>
            </w:r>
          </w:p>
        </w:tc>
      </w:tr>
      <w:tr>
        <w:trPr>
          <w:trHeight w:val="200" w:hRule="atLeast"/>
        </w:trPr>
        <w:tc>
          <w:tcPr>
            <w:tcW w:w="439" w:type="dxa"/>
          </w:tcPr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B10</w:t>
            </w:r>
          </w:p>
        </w:tc>
        <w:tc>
          <w:tcPr>
            <w:tcW w:w="283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80" w:lineRule="exact"/>
              <w:ind w:right="71"/>
              <w:rPr>
                <w:sz w:val="16"/>
              </w:rPr>
            </w:pPr>
            <w:r>
              <w:rPr>
                <w:sz w:val="16"/>
              </w:rPr>
              <w:t>Salário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maternidade</w:t>
            </w:r>
          </w:p>
        </w:tc>
        <w:tc>
          <w:tcPr>
            <w:tcW w:w="79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8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0.03%</w:t>
            </w:r>
          </w:p>
        </w:tc>
      </w:tr>
      <w:tr>
        <w:trPr>
          <w:trHeight w:val="418" w:hRule="atLeast"/>
        </w:trPr>
        <w:tc>
          <w:tcPr>
            <w:tcW w:w="439" w:type="dxa"/>
            <w:tcBorders>
              <w:left w:val="nil"/>
              <w:bottom w:val="nil"/>
              <w:right w:val="double" w:sz="2" w:space="0" w:color="3E3E3E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186" w:lineRule="exact"/>
              <w:ind w:left="42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ENCARGOS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SOCIAIS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QUE</w:t>
            </w:r>
          </w:p>
          <w:p>
            <w:pPr>
              <w:pStyle w:val="TableParagraph"/>
              <w:spacing w:line="240" w:lineRule="auto" w:before="13"/>
              <w:ind w:left="41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RECEBEM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INCIDÊNCIA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</w:p>
        </w:tc>
        <w:tc>
          <w:tcPr>
            <w:tcW w:w="79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43.69%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15.48%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43.69%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15.48%</w:t>
            </w:r>
          </w:p>
        </w:tc>
      </w:tr>
    </w:tbl>
    <w:p>
      <w:pPr>
        <w:pStyle w:val="BodyText"/>
        <w:rPr>
          <w:rFonts w:ascii="Arial MT"/>
          <w:sz w:val="17"/>
        </w:rPr>
      </w:pPr>
    </w:p>
    <w:tbl>
      <w:tblPr>
        <w:tblW w:w="0" w:type="auto"/>
        <w:jc w:val="left"/>
        <w:tblInd w:w="1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439" w:type="dxa"/>
            <w:shd w:val="clear" w:color="auto" w:fill="FFFFCC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C</w:t>
            </w:r>
          </w:p>
        </w:tc>
        <w:tc>
          <w:tcPr>
            <w:tcW w:w="2832" w:type="dxa"/>
            <w:shd w:val="clear" w:color="auto" w:fill="FFFFCC"/>
          </w:tcPr>
          <w:p>
            <w:pPr>
              <w:pStyle w:val="TableParagraph"/>
              <w:ind w:left="99" w:right="70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C</w:t>
            </w:r>
          </w:p>
        </w:tc>
        <w:tc>
          <w:tcPr>
            <w:tcW w:w="290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Aviso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prévio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indenizado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4.28%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3.32%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4.28%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3.32%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Aviso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prévio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trabalhado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0.10%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0.08%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0.10%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0.08%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C3</w:t>
            </w:r>
          </w:p>
        </w:tc>
        <w:tc>
          <w:tcPr>
            <w:tcW w:w="2832" w:type="dxa"/>
          </w:tcPr>
          <w:p>
            <w:pPr>
              <w:pStyle w:val="TableParagraph"/>
              <w:ind w:right="71"/>
              <w:rPr>
                <w:sz w:val="16"/>
              </w:rPr>
            </w:pPr>
            <w:r>
              <w:rPr>
                <w:sz w:val="16"/>
              </w:rPr>
              <w:t>Férias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indenizadas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5.29%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4.09%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5.29%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4.09%</w:t>
            </w: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C4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depósitos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rescisão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causa</w:t>
            </w:r>
          </w:p>
        </w:tc>
        <w:tc>
          <w:tcPr>
            <w:tcW w:w="792" w:type="dxa"/>
          </w:tcPr>
          <w:p>
            <w:pPr>
              <w:pStyle w:val="TableParagraph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3.63%</w:t>
            </w:r>
          </w:p>
        </w:tc>
        <w:tc>
          <w:tcPr>
            <w:tcW w:w="703" w:type="dxa"/>
          </w:tcPr>
          <w:p>
            <w:pPr>
              <w:pStyle w:val="TableParagraph"/>
              <w:ind w:right="68"/>
              <w:rPr>
                <w:sz w:val="16"/>
              </w:rPr>
            </w:pPr>
            <w:r>
              <w:rPr>
                <w:sz w:val="16"/>
              </w:rPr>
              <w:t>2.81%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3.63%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2.81%</w:t>
            </w:r>
          </w:p>
        </w:tc>
      </w:tr>
      <w:tr>
        <w:trPr>
          <w:trHeight w:val="200" w:hRule="atLeast"/>
        </w:trPr>
        <w:tc>
          <w:tcPr>
            <w:tcW w:w="439" w:type="dxa"/>
          </w:tcPr>
          <w:p>
            <w:pPr>
              <w:pStyle w:val="TableParagraph"/>
              <w:spacing w:line="180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C5</w:t>
            </w:r>
          </w:p>
        </w:tc>
        <w:tc>
          <w:tcPr>
            <w:tcW w:w="283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80" w:lineRule="exact"/>
              <w:ind w:left="65" w:right="71"/>
              <w:rPr>
                <w:sz w:val="16"/>
              </w:rPr>
            </w:pPr>
            <w:r>
              <w:rPr>
                <w:sz w:val="16"/>
              </w:rPr>
              <w:t>indenização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adicional</w:t>
            </w:r>
          </w:p>
        </w:tc>
        <w:tc>
          <w:tcPr>
            <w:tcW w:w="79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0.36%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8"/>
              <w:rPr>
                <w:sz w:val="16"/>
              </w:rPr>
            </w:pPr>
            <w:r>
              <w:rPr>
                <w:sz w:val="16"/>
              </w:rPr>
              <w:t>0.28%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0.36%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9" w:lineRule="exact" w:before="1"/>
              <w:ind w:right="67"/>
              <w:rPr>
                <w:sz w:val="16"/>
              </w:rPr>
            </w:pPr>
            <w:r>
              <w:rPr>
                <w:sz w:val="16"/>
              </w:rPr>
              <w:t>0.28%</w:t>
            </w:r>
          </w:p>
        </w:tc>
      </w:tr>
      <w:tr>
        <w:trPr>
          <w:trHeight w:val="418" w:hRule="atLeast"/>
        </w:trPr>
        <w:tc>
          <w:tcPr>
            <w:tcW w:w="439" w:type="dxa"/>
            <w:tcBorders>
              <w:left w:val="nil"/>
              <w:bottom w:val="nil"/>
              <w:right w:val="double" w:sz="2" w:space="0" w:color="3E3E3E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186" w:lineRule="exact"/>
              <w:ind w:left="38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ENCARGOS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SPCIAIS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QUE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NÃO</w:t>
            </w:r>
          </w:p>
          <w:p>
            <w:pPr>
              <w:pStyle w:val="TableParagraph"/>
              <w:spacing w:line="240" w:lineRule="auto" w:before="13"/>
              <w:ind w:left="41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RECEBEM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INCIDÊNCIA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EM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</w:p>
        </w:tc>
        <w:tc>
          <w:tcPr>
            <w:tcW w:w="79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13.66%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10.58%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13.66%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103"/>
              <w:ind w:left="80" w:right="5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10.58%</w:t>
            </w:r>
          </w:p>
        </w:tc>
      </w:tr>
    </w:tbl>
    <w:p>
      <w:pPr>
        <w:pStyle w:val="BodyText"/>
        <w:rPr>
          <w:rFonts w:ascii="Arial MT"/>
          <w:sz w:val="17"/>
        </w:rPr>
      </w:pPr>
    </w:p>
    <w:tbl>
      <w:tblPr>
        <w:tblW w:w="0" w:type="auto"/>
        <w:jc w:val="left"/>
        <w:tblInd w:w="1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832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439" w:type="dxa"/>
            <w:shd w:val="clear" w:color="auto" w:fill="FFFFCC"/>
          </w:tcPr>
          <w:p>
            <w:pPr>
              <w:pStyle w:val="TableParagraph"/>
              <w:ind w:left="0" w:right="147"/>
              <w:jc w:val="right"/>
              <w:rPr>
                <w:sz w:val="16"/>
              </w:rPr>
            </w:pPr>
            <w:r>
              <w:rPr>
                <w:color w:val="9C5600"/>
                <w:w w:val="98"/>
                <w:sz w:val="16"/>
              </w:rPr>
              <w:t>D</w:t>
            </w:r>
          </w:p>
        </w:tc>
        <w:tc>
          <w:tcPr>
            <w:tcW w:w="2832" w:type="dxa"/>
            <w:shd w:val="clear" w:color="auto" w:fill="FFFFCC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color w:val="9C5600"/>
                <w:sz w:val="16"/>
              </w:rPr>
              <w:t>GRUPO</w:t>
            </w:r>
            <w:r>
              <w:rPr>
                <w:color w:val="9C5600"/>
                <w:spacing w:val="-4"/>
                <w:sz w:val="16"/>
              </w:rPr>
              <w:t> </w:t>
            </w:r>
            <w:r>
              <w:rPr>
                <w:color w:val="9C5600"/>
                <w:sz w:val="16"/>
              </w:rPr>
              <w:t>D</w:t>
            </w:r>
          </w:p>
        </w:tc>
        <w:tc>
          <w:tcPr>
            <w:tcW w:w="2901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439" w:type="dxa"/>
          </w:tcPr>
          <w:p>
            <w:pPr>
              <w:pStyle w:val="TableParagraph"/>
              <w:ind w:left="0" w:right="214"/>
              <w:jc w:val="right"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2832" w:type="dxa"/>
          </w:tcPr>
          <w:p>
            <w:pPr>
              <w:pStyle w:val="TableParagraph"/>
              <w:ind w:left="99" w:right="71"/>
              <w:rPr>
                <w:sz w:val="16"/>
              </w:rPr>
            </w:pPr>
            <w:r>
              <w:rPr>
                <w:sz w:val="16"/>
              </w:rPr>
              <w:t>Reincidência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792" w:type="dxa"/>
          </w:tcPr>
          <w:p>
            <w:pPr>
              <w:pStyle w:val="TableParagraph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16.08%</w:t>
            </w:r>
          </w:p>
        </w:tc>
        <w:tc>
          <w:tcPr>
            <w:tcW w:w="703" w:type="dxa"/>
          </w:tcPr>
          <w:p>
            <w:pPr>
              <w:pStyle w:val="TableParagraph"/>
              <w:ind w:left="0" w:right="131"/>
              <w:jc w:val="right"/>
              <w:rPr>
                <w:sz w:val="16"/>
              </w:rPr>
            </w:pPr>
            <w:r>
              <w:rPr>
                <w:sz w:val="16"/>
              </w:rPr>
              <w:t>5.70%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7.34%</w:t>
            </w:r>
          </w:p>
        </w:tc>
        <w:tc>
          <w:tcPr>
            <w:tcW w:w="703" w:type="dxa"/>
          </w:tcPr>
          <w:p>
            <w:pPr>
              <w:pStyle w:val="TableParagraph"/>
              <w:ind w:right="67"/>
              <w:rPr>
                <w:sz w:val="16"/>
              </w:rPr>
            </w:pPr>
            <w:r>
              <w:rPr>
                <w:sz w:val="16"/>
              </w:rPr>
              <w:t>2.60%</w:t>
            </w:r>
          </w:p>
        </w:tc>
      </w:tr>
      <w:tr>
        <w:trPr>
          <w:trHeight w:val="591" w:hRule="atLeast"/>
        </w:trPr>
        <w:tc>
          <w:tcPr>
            <w:tcW w:w="4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4" w:lineRule="exact"/>
              <w:ind w:left="0" w:right="214"/>
              <w:jc w:val="right"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283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177" w:lineRule="exact"/>
              <w:ind w:left="31"/>
              <w:jc w:val="left"/>
              <w:rPr>
                <w:sz w:val="16"/>
              </w:rPr>
            </w:pPr>
            <w:r>
              <w:rPr>
                <w:sz w:val="16"/>
              </w:rPr>
              <w:t>Reincidência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aviso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prévio</w:t>
            </w:r>
          </w:p>
          <w:p>
            <w:pPr>
              <w:pStyle w:val="TableParagraph"/>
              <w:spacing w:line="210" w:lineRule="atLeast"/>
              <w:ind w:left="657" w:hanging="603"/>
              <w:jc w:val="left"/>
              <w:rPr>
                <w:sz w:val="16"/>
              </w:rPr>
            </w:pPr>
            <w:r>
              <w:rPr>
                <w:sz w:val="16"/>
              </w:rPr>
              <w:t>trabalhado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reincidência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FGTS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sobre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aviso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prévio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indenizado</w:t>
            </w:r>
          </w:p>
        </w:tc>
        <w:tc>
          <w:tcPr>
            <w:tcW w:w="792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40" w:lineRule="auto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0.38%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40" w:lineRule="auto"/>
              <w:ind w:left="0" w:right="131"/>
              <w:jc w:val="right"/>
              <w:rPr>
                <w:sz w:val="16"/>
              </w:rPr>
            </w:pPr>
            <w:r>
              <w:rPr>
                <w:sz w:val="16"/>
              </w:rPr>
              <w:t>0.30%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40" w:lineRule="auto"/>
              <w:ind w:right="67"/>
              <w:rPr>
                <w:sz w:val="16"/>
              </w:rPr>
            </w:pPr>
            <w:r>
              <w:rPr>
                <w:sz w:val="16"/>
              </w:rPr>
              <w:t>0.36%</w:t>
            </w:r>
          </w:p>
        </w:tc>
        <w:tc>
          <w:tcPr>
            <w:tcW w:w="703" w:type="dxa"/>
            <w:tcBorders>
              <w:bottom w:val="double" w:sz="2" w:space="0" w:color="3E3E3E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40" w:lineRule="auto"/>
              <w:ind w:right="67"/>
              <w:rPr>
                <w:sz w:val="16"/>
              </w:rPr>
            </w:pPr>
            <w:r>
              <w:rPr>
                <w:sz w:val="16"/>
              </w:rPr>
              <w:t>0.28%</w:t>
            </w:r>
          </w:p>
        </w:tc>
      </w:tr>
      <w:tr>
        <w:trPr>
          <w:trHeight w:val="403" w:hRule="atLeast"/>
        </w:trPr>
        <w:tc>
          <w:tcPr>
            <w:tcW w:w="439" w:type="dxa"/>
            <w:tcBorders>
              <w:left w:val="nil"/>
              <w:bottom w:val="nil"/>
              <w:right w:val="double" w:sz="2" w:space="0" w:color="3E3E3E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176" w:lineRule="exact"/>
              <w:ind w:left="40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REINCIDÊNCIA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UM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GRUPO</w:t>
            </w:r>
          </w:p>
          <w:p>
            <w:pPr>
              <w:pStyle w:val="TableParagraph"/>
              <w:spacing w:line="194" w:lineRule="exact" w:before="13"/>
              <w:ind w:left="40" w:right="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SOBRE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OUTRO</w:t>
            </w:r>
          </w:p>
        </w:tc>
        <w:tc>
          <w:tcPr>
            <w:tcW w:w="792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16.46%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0" w:right="11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6.00%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80" w:right="5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7.70%</w:t>
            </w:r>
          </w:p>
        </w:tc>
        <w:tc>
          <w:tcPr>
            <w:tcW w:w="703" w:type="dxa"/>
            <w:tcBorders>
              <w:top w:val="double" w:sz="2" w:space="0" w:color="3E3E3E"/>
              <w:left w:val="double" w:sz="2" w:space="0" w:color="3E3E3E"/>
              <w:bottom w:val="double" w:sz="2" w:space="0" w:color="3E3E3E"/>
              <w:right w:val="double" w:sz="2" w:space="0" w:color="3E3E3E"/>
            </w:tcBorders>
            <w:shd w:val="clear" w:color="auto" w:fill="A5A5A5"/>
          </w:tcPr>
          <w:p>
            <w:pPr>
              <w:pStyle w:val="TableParagraph"/>
              <w:spacing w:line="240" w:lineRule="auto" w:before="93"/>
              <w:ind w:left="80" w:right="5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2.88%</w:t>
            </w:r>
          </w:p>
        </w:tc>
      </w:tr>
    </w:tbl>
    <w:p>
      <w:pPr>
        <w:pStyle w:val="BodyText"/>
        <w:rPr>
          <w:rFonts w:ascii="Arial MT"/>
          <w:sz w:val="17"/>
        </w:rPr>
      </w:pPr>
    </w:p>
    <w:tbl>
      <w:tblPr>
        <w:tblW w:w="0" w:type="auto"/>
        <w:jc w:val="left"/>
        <w:tblInd w:w="1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792"/>
        <w:gridCol w:w="703"/>
        <w:gridCol w:w="703"/>
        <w:gridCol w:w="703"/>
      </w:tblGrid>
      <w:tr>
        <w:trPr>
          <w:trHeight w:val="193" w:hRule="atLeast"/>
        </w:trPr>
        <w:tc>
          <w:tcPr>
            <w:tcW w:w="3271" w:type="dxa"/>
            <w:shd w:val="clear" w:color="auto" w:fill="ED7C30"/>
          </w:tcPr>
          <w:p>
            <w:pPr>
              <w:pStyle w:val="TableParagraph"/>
              <w:ind w:left="1067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TOTAL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z w:val="16"/>
              </w:rPr>
              <w:t>(A+B+C+D)</w:t>
            </w:r>
          </w:p>
        </w:tc>
        <w:tc>
          <w:tcPr>
            <w:tcW w:w="792" w:type="dxa"/>
            <w:shd w:val="clear" w:color="auto" w:fill="ED7C30"/>
          </w:tcPr>
          <w:p>
            <w:pPr>
              <w:pStyle w:val="TableParagraph"/>
              <w:ind w:left="213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110.61%</w:t>
            </w:r>
          </w:p>
        </w:tc>
        <w:tc>
          <w:tcPr>
            <w:tcW w:w="703" w:type="dxa"/>
            <w:shd w:val="clear" w:color="auto" w:fill="ED7C30"/>
          </w:tcPr>
          <w:p>
            <w:pPr>
              <w:pStyle w:val="TableParagraph"/>
              <w:ind w:left="203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68.86%</w:t>
            </w:r>
          </w:p>
        </w:tc>
        <w:tc>
          <w:tcPr>
            <w:tcW w:w="703" w:type="dxa"/>
            <w:shd w:val="clear" w:color="auto" w:fill="ED7C30"/>
          </w:tcPr>
          <w:p>
            <w:pPr>
              <w:pStyle w:val="TableParagraph"/>
              <w:ind w:left="204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81.85%</w:t>
            </w:r>
          </w:p>
        </w:tc>
        <w:tc>
          <w:tcPr>
            <w:tcW w:w="703" w:type="dxa"/>
            <w:shd w:val="clear" w:color="auto" w:fill="ED7C30"/>
          </w:tcPr>
          <w:p>
            <w:pPr>
              <w:pStyle w:val="TableParagraph"/>
              <w:ind w:left="204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>45.74%</w:t>
            </w:r>
          </w:p>
        </w:tc>
      </w:tr>
    </w:tbl>
    <w:p>
      <w:pPr>
        <w:pStyle w:val="BodyText"/>
        <w:spacing w:before="1"/>
        <w:rPr>
          <w:rFonts w:ascii="Arial MT"/>
          <w:sz w:val="23"/>
        </w:rPr>
      </w:pPr>
    </w:p>
    <w:p>
      <w:pPr>
        <w:pStyle w:val="BodyText"/>
        <w:spacing w:line="256" w:lineRule="auto" w:before="67"/>
        <w:ind w:left="4322" w:right="1966" w:hanging="2314"/>
      </w:pPr>
      <w:r>
        <w:rPr/>
        <w:t>FONTE: Fonte: Informação Dias de Chuva – INMET- SINAPI - Composição de encargos Sociais</w:t>
      </w:r>
      <w:r>
        <w:rPr>
          <w:spacing w:val="-35"/>
        </w:rPr>
        <w:t> </w:t>
      </w:r>
      <w:r>
        <w:rPr/>
        <w:t>do</w:t>
      </w:r>
      <w:r>
        <w:rPr>
          <w:spacing w:val="-1"/>
        </w:rPr>
        <w:t> </w:t>
      </w:r>
      <w:r>
        <w:rPr/>
        <w:t>Rio Grande</w:t>
      </w:r>
      <w:r>
        <w:rPr>
          <w:spacing w:val="-1"/>
        </w:rPr>
        <w:t> </w:t>
      </w:r>
      <w:r>
        <w:rPr/>
        <w:t>do Sul</w:t>
      </w:r>
    </w:p>
    <w:p>
      <w:pPr>
        <w:pStyle w:val="BodyText"/>
        <w:spacing w:before="0"/>
        <w:ind w:left="5596"/>
        <w:rPr>
          <w:sz w:val="20"/>
        </w:rPr>
      </w:pPr>
      <w:r>
        <w:rPr>
          <w:sz w:val="20"/>
        </w:rPr>
        <w:pict>
          <v:group style="width:121.7pt;height:41.2pt;mso-position-horizontal-relative:char;mso-position-vertical-relative:line" coordorigin="0,0" coordsize="2434,824">
            <v:shape style="position:absolute;left:0;top:0;width:2434;height:719" type="#_x0000_t75" stroked="false">
              <v:imagedata r:id="rId6" o:title=""/>
            </v:shape>
            <v:shape style="position:absolute;left:0;top:0;width:2434;height:82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line="162" w:lineRule="exact" w:before="0"/>
                      <w:ind w:left="388" w:right="0" w:firstLine="0"/>
                      <w:jc w:val="left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sz w:val="17"/>
                      </w:rPr>
                      <w:t>Francine</w:t>
                    </w:r>
                    <w:r>
                      <w:rPr>
                        <w:rFonts w:ascii="Times New Roman"/>
                        <w:b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7"/>
                      </w:rPr>
                      <w:t>Madrid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Title"/>
      </w:pPr>
      <w:r>
        <w:rPr/>
        <w:t>Engenheira</w:t>
      </w:r>
      <w:r>
        <w:rPr>
          <w:spacing w:val="10"/>
        </w:rPr>
        <w:t> </w:t>
      </w:r>
      <w:r>
        <w:rPr/>
        <w:t>Civil</w:t>
      </w:r>
      <w:r>
        <w:rPr>
          <w:spacing w:val="6"/>
        </w:rPr>
        <w:t> </w:t>
      </w:r>
      <w:r>
        <w:rPr/>
        <w:t>-</w:t>
      </w:r>
      <w:r>
        <w:rPr>
          <w:spacing w:val="3"/>
        </w:rPr>
        <w:t> </w:t>
      </w:r>
      <w:r>
        <w:rPr/>
        <w:t>CREA</w:t>
      </w:r>
      <w:r>
        <w:rPr>
          <w:spacing w:val="3"/>
        </w:rPr>
        <w:t> </w:t>
      </w:r>
      <w:r>
        <w:rPr/>
        <w:t>RS</w:t>
      </w:r>
      <w:r>
        <w:rPr>
          <w:spacing w:val="3"/>
        </w:rPr>
        <w:t> </w:t>
      </w:r>
      <w:r>
        <w:rPr/>
        <w:t>228191</w:t>
      </w:r>
    </w:p>
    <w:sectPr>
      <w:type w:val="continuous"/>
      <w:pgSz w:w="11900" w:h="16840"/>
      <w:pgMar w:top="120" w:bottom="280" w:left="2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Calibri" w:hAnsi="Calibri" w:eastAsia="Calibri" w:cs="Calibri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66" w:lineRule="exact"/>
      <w:ind w:left="5323"/>
    </w:pPr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74" w:lineRule="exact"/>
      <w:ind w:left="97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2021-09-03T11:28:47Z</dcterms:created>
  <dcterms:modified xsi:type="dcterms:W3CDTF">2021-09-03T11:28:47Z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