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7E" w:rsidRDefault="002C7BE7">
      <w:pPr>
        <w:spacing w:after="75" w:line="259" w:lineRule="auto"/>
        <w:ind w:left="0" w:right="90" w:firstLine="0"/>
        <w:jc w:val="center"/>
      </w:pPr>
      <w:bookmarkStart w:id="0" w:name="_GoBack"/>
      <w:bookmarkEnd w:id="0"/>
      <w:r>
        <w:rPr>
          <w:sz w:val="25"/>
        </w:rPr>
        <w:t xml:space="preserve">ESTUDO TÉCNICO PRELIMINAR </w:t>
      </w:r>
    </w:p>
    <w:p w:rsidR="00FE0E7E" w:rsidRDefault="002C7BE7">
      <w:pPr>
        <w:pStyle w:val="Heading1"/>
      </w:pPr>
      <w:r>
        <w:t xml:space="preserve">PROCESSO Nº 015/2026 - DISPENSA DE LICITAÇÃO N° </w:t>
      </w:r>
      <w:r>
        <w:rPr>
          <w:color w:val="000000"/>
        </w:rPr>
        <w:t xml:space="preserve">010/2026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pStyle w:val="Heading2"/>
        <w:spacing w:after="5"/>
        <w:ind w:left="345"/>
      </w:pPr>
      <w:r>
        <w:t xml:space="preserve">1. DO OBJETO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spacing w:after="96"/>
        <w:ind w:left="345" w:right="9"/>
      </w:pPr>
      <w:r>
        <w:t xml:space="preserve">1.1. </w:t>
      </w:r>
      <w:r>
        <w:t xml:space="preserve">Aquisição de gêneros alimentícios, materiais de limpeza e de higiene, por meio de Dispensa de Licitação, conforme condições, quantidades e exigências estabelecidas no Documento de Formalização de Demanda.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pStyle w:val="Heading2"/>
        <w:spacing w:after="84"/>
        <w:ind w:left="345"/>
      </w:pPr>
      <w:r>
        <w:t xml:space="preserve">2. DESCRIÇÃO DA NECESSIDADE </w:t>
      </w:r>
    </w:p>
    <w:p w:rsidR="00FE0E7E" w:rsidRDefault="002C7BE7">
      <w:pPr>
        <w:spacing w:after="3"/>
        <w:ind w:left="345" w:right="9"/>
      </w:pPr>
      <w:r>
        <w:t>A presente contrata</w:t>
      </w:r>
      <w:r>
        <w:t xml:space="preserve">ção tem por objetivo a aquisição de gêneros alimentícios, materiais de limpeza e de higiene, visando atender às demandas rotineiras, garantindo condições adequadas de funcionamento dos serviços administrativos e legislativos desta Casa </w:t>
      </w:r>
    </w:p>
    <w:p w:rsidR="00FE0E7E" w:rsidRDefault="002C7BE7">
      <w:pPr>
        <w:spacing w:after="103"/>
        <w:ind w:left="345" w:right="9"/>
      </w:pPr>
      <w:r>
        <w:t xml:space="preserve">Legislativa.  </w:t>
      </w:r>
    </w:p>
    <w:p w:rsidR="00FE0E7E" w:rsidRDefault="002C7BE7">
      <w:pPr>
        <w:spacing w:after="106"/>
        <w:ind w:left="345" w:right="9"/>
      </w:pPr>
      <w:r>
        <w:t>Os g</w:t>
      </w:r>
      <w:r>
        <w:t>êneros alimentícios são necessários para o atendimento de reuniões internas, sessões plenárias, audiências públicas, eventos institucionais e demais atividades parlamentares, proporcionando acolhimento adequado aos vereadores, servidores e eventuais convid</w:t>
      </w:r>
      <w:r>
        <w:t xml:space="preserve">ados. Já os materiais de limpeza e de higiene são essenciais para a manutenção da salubridade, da higiene e da organização dos ambientes da sede da Câmara, assegurando um local de trabalho limpo, seguro e apropriado ao atendimento da população.  </w:t>
      </w:r>
    </w:p>
    <w:p w:rsidR="00FE0E7E" w:rsidRDefault="002C7BE7">
      <w:pPr>
        <w:spacing w:after="34"/>
        <w:ind w:left="345" w:right="9"/>
      </w:pPr>
      <w:r>
        <w:t>A aquisiç</w:t>
      </w:r>
      <w:r>
        <w:t>ão ocorre por meio de Dispensa de Licitação, em razão da natureza rotineira dos itens, do baixo valor envolvido e da necessidade de reposição imediata, em conformidade com o art. 75, inciso II, da Lei nº 14.133/2021, observando-se os princípios da legalida</w:t>
      </w:r>
      <w:r>
        <w:t xml:space="preserve">de, eficiência, economicidade e do interesse público.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pStyle w:val="Heading2"/>
        <w:spacing w:after="81"/>
        <w:ind w:left="345"/>
      </w:pPr>
      <w:r>
        <w:t xml:space="preserve">3. ÁREA REQUISITANTE </w:t>
      </w:r>
    </w:p>
    <w:p w:rsidR="00FE0E7E" w:rsidRDefault="002C7BE7">
      <w:pPr>
        <w:ind w:left="345" w:right="9"/>
      </w:pPr>
      <w:r>
        <w:t>A presente demanda foi formalizada pela Coordenadoria da Presidência, em razão da necessidade de aquisição de gêneros alimentícios, materiais de limpeza e de higiene, destinados à manutenção das atividades administrativas e legislativas, garantindo condiçõ</w:t>
      </w:r>
      <w:r>
        <w:t xml:space="preserve">es adequadas de funcionamento, organização e atendimento das necessidades institucionais desta Casa Legislativa.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pStyle w:val="Heading2"/>
        <w:ind w:left="345"/>
      </w:pPr>
      <w:r>
        <w:t xml:space="preserve">4. REQUISITOS DA CONTRATAÇÃO </w:t>
      </w:r>
    </w:p>
    <w:p w:rsidR="00FE0E7E" w:rsidRDefault="002C7BE7">
      <w:pPr>
        <w:spacing w:after="142"/>
        <w:ind w:left="345" w:right="9"/>
      </w:pPr>
      <w:r>
        <w:t xml:space="preserve">A contratada deverá fornecer os gêneros alimentícios, materiais de limpeza e de higiene em total conformidade </w:t>
      </w:r>
      <w:r>
        <w:t xml:space="preserve">com as especificações técnicas e quantitativos constantes no Documento de Formalização da Demanda do Processo nº 015/2026 – Dispensa de Licitação nº 010/2026 da Câmara Municipal de Canguçu. </w:t>
      </w:r>
    </w:p>
    <w:p w:rsidR="00FE0E7E" w:rsidRDefault="002C7BE7">
      <w:pPr>
        <w:ind w:left="345" w:right="9"/>
      </w:pPr>
      <w:r>
        <w:t>Todos os produtos fornecidos deverão apresentar qualidade adequad</w:t>
      </w:r>
      <w:r>
        <w:t xml:space="preserve">a para uso institucional, estar em perfeitas condições de conservação e, quando aplicável, possuir prazo de validade compatível com sua utilização, observando as normas sanitárias e de segurança pertinentes. </w:t>
      </w:r>
    </w:p>
    <w:p w:rsidR="00FE0E7E" w:rsidRDefault="002C7BE7">
      <w:pPr>
        <w:spacing w:after="111"/>
        <w:ind w:left="345" w:right="9"/>
      </w:pPr>
      <w:r>
        <w:t>A entrega deverá contemplar todos os itens desc</w:t>
      </w:r>
      <w:r>
        <w:t xml:space="preserve">ritos, devidamente embalados, identificados e compatíveis com as quantidades e características técnicas previstas no processo. </w:t>
      </w:r>
    </w:p>
    <w:p w:rsidR="00FE0E7E" w:rsidRDefault="002C7BE7">
      <w:pPr>
        <w:spacing w:after="132"/>
        <w:ind w:left="345" w:right="9"/>
      </w:pPr>
      <w:r>
        <w:lastRenderedPageBreak/>
        <w:t>O recebimento será realizado em duas etapas: provisório, para conferência inicial dos itens entregues, e definitivo, após verifi</w:t>
      </w:r>
      <w:r>
        <w:t xml:space="preserve">cação da conformidade de todas as especificações, quantidades e condições dos produtos fornecidos.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pStyle w:val="Heading2"/>
        <w:spacing w:after="105"/>
        <w:ind w:left="345"/>
      </w:pPr>
      <w:r>
        <w:t xml:space="preserve">5. LEVANTAMENTO DE MERCADO </w:t>
      </w:r>
    </w:p>
    <w:p w:rsidR="00FE0E7E" w:rsidRDefault="002C7BE7">
      <w:pPr>
        <w:spacing w:after="128"/>
        <w:ind w:left="345" w:right="9"/>
      </w:pPr>
      <w:r>
        <w:t>Em atenção às necessidades identificadas no Documento de Formalização da Demanda, foi realizado levantamento de mercado por me</w:t>
      </w:r>
      <w:r>
        <w:t xml:space="preserve">io de pesquisas junto a fornecedores e estabelecimentos comerciais do ramo, visando à obtenção de preços e condições compatíveis com o objeto da contratação. </w:t>
      </w:r>
    </w:p>
    <w:p w:rsidR="00FE0E7E" w:rsidRDefault="002C7BE7">
      <w:pPr>
        <w:spacing w:after="139"/>
        <w:ind w:left="345" w:right="9"/>
      </w:pPr>
      <w:r>
        <w:t>As cotações obtidas foram registradas e anexadas ao processo, assegurando transparência, economic</w:t>
      </w:r>
      <w:r>
        <w:t xml:space="preserve">idade e observância aos princípios da Administração Pública. As pesquisas realizadas permitiram verificar a disponibilidade dos itens, os preços praticados no mercado e as condições de fornecimento, demonstrando a viabilidade da contratação pretendida. </w:t>
      </w:r>
    </w:p>
    <w:p w:rsidR="00FE0E7E" w:rsidRDefault="002C7BE7">
      <w:pPr>
        <w:spacing w:after="14" w:line="259" w:lineRule="auto"/>
        <w:ind w:left="350" w:right="0" w:firstLine="0"/>
        <w:jc w:val="left"/>
      </w:pPr>
      <w:r>
        <w:t xml:space="preserve"> </w:t>
      </w:r>
    </w:p>
    <w:p w:rsidR="00FE0E7E" w:rsidRDefault="002C7BE7">
      <w:pPr>
        <w:pStyle w:val="Heading2"/>
        <w:ind w:left="345"/>
      </w:pPr>
      <w:r>
        <w:t xml:space="preserve">6. DESCRIÇÃO DA SOLUÇÃO COMO UM TODO </w:t>
      </w:r>
    </w:p>
    <w:p w:rsidR="00FE0E7E" w:rsidRDefault="002C7BE7">
      <w:pPr>
        <w:ind w:left="345" w:right="86"/>
      </w:pPr>
      <w:r>
        <w:t>A solução proposta contempla a contratação, por meio de Dispensa de Licitação, de empresa especializada no fornecimento de gêneros alimentícios, materiais de limpeza e de higiene, visando atender às necessidades rotineiras da Câmara Municipal de Canguçu, c</w:t>
      </w:r>
      <w:r>
        <w:t xml:space="preserve">onforme as condições, especificações e requisitos definidos no Termo de Referência e demais documentos que integram o Processo nº 015/2026. </w:t>
      </w:r>
    </w:p>
    <w:p w:rsidR="00FE0E7E" w:rsidRDefault="002C7BE7">
      <w:pPr>
        <w:ind w:left="345" w:right="87"/>
      </w:pPr>
      <w:r>
        <w:t>A medida visa garantir o adequado funcionamento das atividades administrativas e legislativas, assegurando qualidad</w:t>
      </w:r>
      <w:r>
        <w:t xml:space="preserve">e, continuidade e pronta reposição dos itens essenciais ao dia a dia institucional, com fundamento no art. 75, inciso II, da Lei nº 14.133/2021. </w:t>
      </w:r>
    </w:p>
    <w:p w:rsidR="00FE0E7E" w:rsidRDefault="002C7BE7">
      <w:pPr>
        <w:spacing w:after="127"/>
        <w:ind w:left="345" w:right="85"/>
      </w:pPr>
      <w:r>
        <w:t>A contratada será responsável pelo fornecimento integral dos produtos descritos, observando rigorosamente as e</w:t>
      </w:r>
      <w:r>
        <w:t xml:space="preserve">specificações técnicas, os prazos de entrega, a integridade das embalagens, a validade dos itens e o cumprimento das normas sanitárias e regulatórias aplicáveis. </w:t>
      </w:r>
    </w:p>
    <w:p w:rsidR="00FE0E7E" w:rsidRDefault="002C7BE7">
      <w:pPr>
        <w:spacing w:after="257" w:line="259" w:lineRule="auto"/>
        <w:ind w:left="350" w:right="0" w:firstLine="0"/>
        <w:jc w:val="left"/>
      </w:pPr>
      <w:r>
        <w:t xml:space="preserve"> </w:t>
      </w:r>
    </w:p>
    <w:p w:rsidR="00FE0E7E" w:rsidRDefault="002C7BE7">
      <w:pPr>
        <w:pStyle w:val="Heading2"/>
        <w:spacing w:after="264"/>
        <w:ind w:left="345"/>
      </w:pPr>
      <w:r>
        <w:t xml:space="preserve">7. JUSTIFICATIVA PARA PARCELAMENTO OU NÃO DA SOLUÇÃO </w:t>
      </w:r>
    </w:p>
    <w:p w:rsidR="00FE0E7E" w:rsidRDefault="002C7BE7">
      <w:pPr>
        <w:ind w:left="345" w:right="85"/>
      </w:pPr>
      <w:r>
        <w:t>Não se mostra necessário o parcelamen</w:t>
      </w:r>
      <w:r>
        <w:t xml:space="preserve">to da solução, uma vez que a contratação conjunta dos itens proporciona maior eficiência administrativa, simplificação da gestão contratual e otimização do processo de aquisição. Embora os produtos pertençam a categorias distintas, sua aquisição ocorre de </w:t>
      </w:r>
      <w:r>
        <w:t xml:space="preserve">forma rotineira e destinada ao atendimento das necessidades da Câmara Municipal, sendo possível o fornecimento por empresas que atuam no ramo pertinente. </w:t>
      </w:r>
    </w:p>
    <w:p w:rsidR="00FE0E7E" w:rsidRDefault="002C7BE7">
      <w:pPr>
        <w:spacing w:after="127"/>
        <w:ind w:left="345" w:right="9"/>
      </w:pPr>
      <w:r>
        <w:t>O parcelamento da contratação poderia acarretar aumento dos custos administrativos, maior complexidad</w:t>
      </w:r>
      <w:r>
        <w:t xml:space="preserve">e no acompanhamento das entregas e eventual comprometimento da padronização e da continuidade do abastecimento dos materiais necessários ao funcionamento da instituição. </w:t>
      </w:r>
    </w:p>
    <w:p w:rsidR="00FE0E7E" w:rsidRDefault="002C7BE7">
      <w:pPr>
        <w:spacing w:after="127"/>
        <w:ind w:left="345" w:right="9"/>
      </w:pPr>
      <w:r>
        <w:t>Dessa forma, a contratação unificada mostra-se mais vantajosa e compatível com os pri</w:t>
      </w:r>
      <w:r>
        <w:t xml:space="preserve">ncípios da economicidade, eficiência e interesse público. </w:t>
      </w:r>
    </w:p>
    <w:p w:rsidR="00FE0E7E" w:rsidRDefault="002C7BE7">
      <w:pPr>
        <w:spacing w:after="14" w:line="259" w:lineRule="auto"/>
        <w:ind w:left="350" w:right="0" w:firstLine="0"/>
        <w:jc w:val="left"/>
      </w:pPr>
      <w:r>
        <w:t xml:space="preserve"> </w:t>
      </w:r>
    </w:p>
    <w:p w:rsidR="00FE0E7E" w:rsidRDefault="002C7BE7">
      <w:pPr>
        <w:pStyle w:val="Heading2"/>
        <w:spacing w:after="223"/>
        <w:ind w:left="345"/>
      </w:pPr>
      <w:r>
        <w:t xml:space="preserve">8. RESULTADOS PRETENDIDOS </w:t>
      </w:r>
    </w:p>
    <w:p w:rsidR="00FE0E7E" w:rsidRDefault="002C7BE7">
      <w:pPr>
        <w:spacing w:after="6"/>
        <w:ind w:left="345" w:right="9"/>
      </w:pPr>
      <w:r>
        <w:t>Os principais resultados pretendidos com a contratação são: assegurar o abastecimento contínuo de gêneros alimentícios, materiais de limpeza e de higiene; garantir a qu</w:t>
      </w:r>
      <w:r>
        <w:t>alidade e a conformidade dos produtos adquiridos; proporcionar maior eficiência na execução das atividades administrativas e legislativas; evitar desabastecimentos e interrupções das rotinas internas; e assegurar condições adequadas de higiene, organização</w:t>
      </w:r>
      <w:r>
        <w:t xml:space="preserve">, acolhimento e funcionamento dos ambientes da Câmara Municipal de Canguçu.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0E7E" w:rsidRDefault="002C7BE7">
      <w:pPr>
        <w:pStyle w:val="Heading2"/>
        <w:ind w:left="345"/>
      </w:pPr>
      <w:r>
        <w:t xml:space="preserve">9. POSSÍVEIS IMPACTOS AMBIENTAIS </w:t>
      </w:r>
    </w:p>
    <w:p w:rsidR="00FE0E7E" w:rsidRDefault="002C7BE7">
      <w:pPr>
        <w:ind w:left="345" w:right="87"/>
      </w:pPr>
      <w:r>
        <w:t xml:space="preserve">Os impactos ambientais decorrentes da contratação são considerados reduzidos, por se tratar do fornecimento de produtos de consumo cotidiano destinados às atividades administrativas e legislativas da Câmara Municipal de Canguçu. </w:t>
      </w:r>
    </w:p>
    <w:p w:rsidR="00FE0E7E" w:rsidRDefault="002C7BE7">
      <w:pPr>
        <w:ind w:left="345" w:right="87"/>
      </w:pPr>
      <w:r>
        <w:t xml:space="preserve">Ainda assim, a contratada </w:t>
      </w:r>
      <w:r>
        <w:t xml:space="preserve">deverá observar práticas ambientalmente responsáveis, tais como o descarte adequado de embalagens, a preferência por produtos biodegradáveis ou de menor impacto ambiental, quando disponíveis, e o cumprimento da legislação ambiental aplicável. </w:t>
      </w:r>
    </w:p>
    <w:p w:rsidR="00FE0E7E" w:rsidRDefault="002C7BE7">
      <w:pPr>
        <w:ind w:left="345" w:right="86"/>
      </w:pPr>
      <w:r>
        <w:t>Recomenda-se</w:t>
      </w:r>
      <w:r>
        <w:t xml:space="preserve"> também a utilização racional dos materiais adquiridos, evitando desperdícios e promovendo a responsabilidade socioambiental durante todo o processo de fornecimento e utilização dos produtos. </w:t>
      </w:r>
    </w:p>
    <w:p w:rsidR="00FE0E7E" w:rsidRDefault="002C7BE7">
      <w:pPr>
        <w:spacing w:after="12" w:line="259" w:lineRule="auto"/>
        <w:ind w:left="350" w:right="0" w:firstLine="0"/>
        <w:jc w:val="left"/>
      </w:pPr>
      <w:r>
        <w:t xml:space="preserve"> </w:t>
      </w:r>
    </w:p>
    <w:p w:rsidR="00FE0E7E" w:rsidRDefault="002C7BE7">
      <w:pPr>
        <w:pStyle w:val="Heading2"/>
        <w:ind w:left="345"/>
      </w:pPr>
      <w:r>
        <w:t xml:space="preserve">10. ANÁLISE DE RISCOS DA AQUISIÇÃO </w:t>
      </w:r>
    </w:p>
    <w:p w:rsidR="00FE0E7E" w:rsidRDefault="002C7BE7">
      <w:pPr>
        <w:ind w:left="345" w:right="86"/>
      </w:pPr>
      <w:r>
        <w:t>Foram identificados riscos potenciais relacionados ao fornecimento dos produtos, tais como atraso nas entregas, mitigado pela definição de prazos contratuais e pela adoção das medidas cabíveis em caso de descumprimento; entrega de produtos em desacordo com</w:t>
      </w:r>
      <w:r>
        <w:t xml:space="preserve"> as especificações técnicas ou com prazo de validade inadequado, mitigada mediante conferência rigorosa no recebimento e recusa dos itens irregulares; e eventual oscilação dos preços de mercado, mitigada por meio de pesquisa prévia atualizada e adequado pl</w:t>
      </w:r>
      <w:r>
        <w:t xml:space="preserve">anejamento orçamentário. </w:t>
      </w:r>
    </w:p>
    <w:p w:rsidR="00FE0E7E" w:rsidRDefault="002C7BE7">
      <w:pPr>
        <w:ind w:left="345" w:right="87"/>
      </w:pPr>
      <w:r>
        <w:t>As medidas de mitigação previstas visam assegurar que o fornecimento ocorra dentro dos padrões de qualidade, prazos e confiabilidade exigidos pela Administração, reduzindo os riscos de prejuízo à continuidade das atividades da Câm</w:t>
      </w:r>
      <w:r>
        <w:t xml:space="preserve">ara Municipal de Canguçu. </w:t>
      </w:r>
    </w:p>
    <w:p w:rsidR="00FE0E7E" w:rsidRDefault="002C7BE7">
      <w:pPr>
        <w:spacing w:after="0" w:line="259" w:lineRule="auto"/>
        <w:ind w:left="350" w:right="0" w:firstLine="0"/>
        <w:jc w:val="left"/>
      </w:pPr>
      <w:r>
        <w:t xml:space="preserve"> </w:t>
      </w:r>
    </w:p>
    <w:p w:rsidR="00FE0E7E" w:rsidRDefault="002C7BE7">
      <w:pPr>
        <w:pStyle w:val="Heading2"/>
        <w:ind w:left="345"/>
      </w:pPr>
      <w:r>
        <w:t xml:space="preserve">11. DECLARAÇÃO DE VIABILIDADE </w:t>
      </w:r>
    </w:p>
    <w:p w:rsidR="00FE0E7E" w:rsidRDefault="002C7BE7">
      <w:pPr>
        <w:spacing w:after="5"/>
        <w:ind w:left="345" w:right="86"/>
      </w:pPr>
      <w:r>
        <w:t>Com base nas informações e justificativas constantes neste Estudo Técnico Preliminar, nas especificações definidas no Documento de Formalização da Demanda, no levantamento de mercado realizado e n</w:t>
      </w:r>
      <w:r>
        <w:t>a existência de previsão orçamentária para a contratação, declara-se viável a aquisição de gêneros alimentícios, materiais de limpeza e de higiene, por atender ao interesse público, às necessidades da Câmara Municipal de Canguçu e aos princípios da legalid</w:t>
      </w:r>
      <w:r>
        <w:t xml:space="preserve">ade, eficiência e economicidade, apresentando compatibilidade com os preços praticados no mercado.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FE0E7E" w:rsidRDefault="002C7BE7">
      <w:pPr>
        <w:spacing w:after="74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FE0E7E" w:rsidRDefault="002C7BE7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FE0E7E" w:rsidRDefault="002C7BE7">
      <w:pPr>
        <w:spacing w:after="74" w:line="259" w:lineRule="auto"/>
        <w:ind w:left="3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93264" cy="9144"/>
                <wp:effectExtent l="0" t="0" r="0" b="0"/>
                <wp:docPr id="2659" name="Group 2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264" cy="9144"/>
                          <a:chOff x="0" y="0"/>
                          <a:chExt cx="2493264" cy="9144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2493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>
                                <a:moveTo>
                                  <a:pt x="0" y="0"/>
                                </a:moveTo>
                                <a:lnTo>
                                  <a:pt x="249326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9" style="width:196.32pt;height:0.72pt;mso-position-horizontal-relative:char;mso-position-vertical-relative:line" coordsize="24932,91">
                <v:shape id="Shape 201" style="position:absolute;width:24932;height:0;left:0;top:0;" coordsize="2493264,0" path="m0,0l2493264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E0E7E" w:rsidRDefault="002C7BE7">
      <w:pPr>
        <w:spacing w:after="2" w:line="259" w:lineRule="auto"/>
        <w:ind w:left="675" w:right="0" w:firstLine="0"/>
        <w:jc w:val="center"/>
      </w:pPr>
      <w:r>
        <w:t xml:space="preserve">CARLOS EDUARDO DOMINGUES MARTINS </w:t>
      </w:r>
    </w:p>
    <w:p w:rsidR="00FE0E7E" w:rsidRDefault="002C7BE7">
      <w:pPr>
        <w:spacing w:after="0" w:line="259" w:lineRule="auto"/>
        <w:ind w:left="675" w:right="0" w:firstLine="0"/>
        <w:jc w:val="center"/>
      </w:pPr>
      <w:r>
        <w:t xml:space="preserve">Presidente da Câmara Municipal de Canguçu </w:t>
      </w:r>
    </w:p>
    <w:sectPr w:rsidR="00FE0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66" w:right="1375" w:bottom="1351" w:left="1051" w:header="879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7BE7">
      <w:pPr>
        <w:spacing w:after="0" w:line="240" w:lineRule="auto"/>
      </w:pPr>
      <w:r>
        <w:separator/>
      </w:r>
    </w:p>
  </w:endnote>
  <w:endnote w:type="continuationSeparator" w:id="0">
    <w:p w:rsidR="00000000" w:rsidRDefault="002C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7E" w:rsidRDefault="002C7BE7">
    <w:pPr>
      <w:tabs>
        <w:tab w:val="center" w:pos="4992"/>
      </w:tabs>
      <w:spacing w:after="0" w:line="259" w:lineRule="auto"/>
      <w:ind w:left="0" w:righ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7E" w:rsidRDefault="002C7BE7">
    <w:pPr>
      <w:tabs>
        <w:tab w:val="center" w:pos="4992"/>
      </w:tabs>
      <w:spacing w:after="0" w:line="259" w:lineRule="auto"/>
      <w:ind w:left="0" w:righ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7E" w:rsidRDefault="002C7BE7">
    <w:pPr>
      <w:tabs>
        <w:tab w:val="center" w:pos="4992"/>
      </w:tabs>
      <w:spacing w:after="0" w:line="259" w:lineRule="auto"/>
      <w:ind w:left="0" w:right="0" w:firstLine="0"/>
      <w:jc w:val="left"/>
    </w:pPr>
    <w:r>
      <w:rPr>
        <w:sz w:val="19"/>
      </w:rPr>
      <w:t xml:space="preserve"> </w:t>
    </w:r>
    <w:r>
      <w:rPr>
        <w:sz w:val="19"/>
      </w:rPr>
      <w:tab/>
    </w:r>
    <w:r>
      <w:rPr>
        <w:sz w:val="19"/>
        <w:bdr w:val="single" w:sz="12" w:space="0" w:color="000000"/>
      </w:rPr>
      <w:t>“DOE SANGUE, DOE ÓRGÃOS, SALVE UMA VIDA!”</w:t>
    </w: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7BE7">
      <w:pPr>
        <w:spacing w:after="0" w:line="240" w:lineRule="auto"/>
      </w:pPr>
      <w:r>
        <w:separator/>
      </w:r>
    </w:p>
  </w:footnote>
  <w:footnote w:type="continuationSeparator" w:id="0">
    <w:p w:rsidR="00000000" w:rsidRDefault="002C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7E" w:rsidRDefault="002C7BE7">
    <w:pPr>
      <w:spacing w:after="1159" w:line="259" w:lineRule="auto"/>
      <w:ind w:left="0" w:right="402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1" w:right="0" w:firstLine="0"/>
      <w:jc w:val="center"/>
    </w:pPr>
    <w:r>
      <w:rPr>
        <w:sz w:val="23"/>
      </w:rPr>
      <w:t xml:space="preserve">CÂMARA MUNICIPAL DE CANGUÇU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6" w:right="0" w:firstLine="0"/>
      <w:jc w:val="center"/>
    </w:pPr>
    <w:r>
      <w:t xml:space="preserve">ESTADO DO RIO GRANDE DO SUL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right="0" w:firstLine="0"/>
      <w:jc w:val="left"/>
    </w:pPr>
    <w:r>
      <w:rPr>
        <w:sz w:val="19"/>
      </w:rPr>
      <w:t xml:space="preserve">Rua General Osório, 979. Centro. CEP:96600-000. Canguçu–RS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8" w:right="0" w:firstLine="0"/>
      <w:jc w:val="center"/>
    </w:pPr>
    <w:r>
      <w:rPr>
        <w:sz w:val="19"/>
      </w:rPr>
      <w:t xml:space="preserve">Telefone: (53) 3252-1528.http://camaracangucu.rs.gov.br/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7E" w:rsidRDefault="002C7BE7">
    <w:pPr>
      <w:spacing w:after="1159" w:line="259" w:lineRule="auto"/>
      <w:ind w:left="0" w:right="402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1" w:right="0" w:firstLine="0"/>
      <w:jc w:val="center"/>
    </w:pPr>
    <w:r>
      <w:rPr>
        <w:sz w:val="23"/>
      </w:rPr>
      <w:t xml:space="preserve">CÂMARA MUNICIPAL DE CANGUÇU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6" w:right="0" w:firstLine="0"/>
      <w:jc w:val="center"/>
    </w:pPr>
    <w:r>
      <w:t xml:space="preserve">ESTADO DO RIO GRANDE DO SUL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right="0" w:firstLine="0"/>
      <w:jc w:val="left"/>
    </w:pPr>
    <w:r>
      <w:rPr>
        <w:sz w:val="19"/>
      </w:rPr>
      <w:t xml:space="preserve">Rua General Osório, 979. Centro. CEP:96600-000. Canguçu–RS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8" w:right="0" w:firstLine="0"/>
      <w:jc w:val="center"/>
    </w:pPr>
    <w:r>
      <w:rPr>
        <w:sz w:val="19"/>
      </w:rPr>
      <w:t xml:space="preserve">Telefone: (53) 3252-1528.http://camaracangucu.rs.gov.br/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7E" w:rsidRDefault="002C7BE7">
    <w:pPr>
      <w:spacing w:after="1159" w:line="259" w:lineRule="auto"/>
      <w:ind w:left="0" w:right="402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3429000</wp:posOffset>
          </wp:positionH>
          <wp:positionV relativeFrom="page">
            <wp:posOffset>641605</wp:posOffset>
          </wp:positionV>
          <wp:extent cx="705612" cy="72237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</w:rPr>
      <w:t xml:space="preserve">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21" w:right="0" w:firstLine="0"/>
      <w:jc w:val="center"/>
    </w:pPr>
    <w:r>
      <w:rPr>
        <w:sz w:val="23"/>
      </w:rPr>
      <w:t xml:space="preserve">CÂMARA MUNICIPAL DE CANGUÇU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336" w:right="0" w:firstLine="0"/>
      <w:jc w:val="center"/>
    </w:pPr>
    <w:r>
      <w:t xml:space="preserve">ESTADO DO RIO GRANDE DO SUL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2105" w:right="0" w:firstLine="0"/>
      <w:jc w:val="left"/>
    </w:pPr>
    <w:r>
      <w:rPr>
        <w:sz w:val="19"/>
      </w:rPr>
      <w:t xml:space="preserve">Rua General Osório, 979. Centro. CEP:96600-000. Canguçu–RS </w:t>
    </w:r>
  </w:p>
  <w:p w:rsidR="00FE0E7E" w:rsidRDefault="002C7BE7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348" w:right="0" w:firstLine="0"/>
      <w:jc w:val="center"/>
    </w:pPr>
    <w:r>
      <w:rPr>
        <w:sz w:val="19"/>
      </w:rPr>
      <w:t xml:space="preserve">Telefone: (53) 3252-1528.http://camaracangucu.rs.gov.br/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7E"/>
    <w:rsid w:val="002C7BE7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068DDB9-AD41-4F1B-970C-297C30B4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5" w:line="267" w:lineRule="auto"/>
      <w:ind w:left="360" w:right="2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left="1680"/>
      <w:outlineLvl w:val="0"/>
    </w:pPr>
    <w:rPr>
      <w:rFonts w:ascii="Times New Roman" w:eastAsia="Times New Roman" w:hAnsi="Times New Roman" w:cs="Times New Roman"/>
      <w:color w:val="333333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0"/>
      <w:ind w:left="360" w:hanging="10"/>
      <w:outlineLvl w:val="1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3333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6961</Characters>
  <Application>Microsoft Office Word</Application>
  <DocSecurity>4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ETP</dc:title>
  <dc:subject/>
  <dc:creator>Estagiário Patrimônio</dc:creator>
  <cp:keywords/>
  <cp:lastModifiedBy>word</cp:lastModifiedBy>
  <cp:revision>2</cp:revision>
  <dcterms:created xsi:type="dcterms:W3CDTF">2026-06-25T16:54:00Z</dcterms:created>
  <dcterms:modified xsi:type="dcterms:W3CDTF">2026-06-25T16:54:00Z</dcterms:modified>
</cp:coreProperties>
</file>