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01" w:rsidRDefault="00662566">
      <w:pPr>
        <w:spacing w:after="116" w:line="259" w:lineRule="auto"/>
        <w:ind w:left="127" w:firstLine="0"/>
        <w:jc w:val="center"/>
      </w:pPr>
      <w:bookmarkStart w:id="0" w:name="_GoBack"/>
      <w:bookmarkEnd w:id="0"/>
      <w:r>
        <w:rPr>
          <w:b/>
          <w:sz w:val="24"/>
        </w:rPr>
        <w:t>TERMO DE REFERÊNCIA RETIFICADO</w:t>
      </w:r>
    </w:p>
    <w:p w:rsidR="009C7801" w:rsidRDefault="00662566">
      <w:pPr>
        <w:spacing w:after="121" w:line="259" w:lineRule="auto"/>
        <w:ind w:left="0" w:right="72" w:firstLine="0"/>
        <w:jc w:val="center"/>
      </w:pPr>
      <w:r>
        <w:rPr>
          <w:sz w:val="24"/>
        </w:rPr>
        <w:t>PROCESSO Nº 06/2026 – DISPENSA DE LICITAÇÃO 04/2026</w:t>
      </w:r>
    </w:p>
    <w:p w:rsidR="009C7801" w:rsidRDefault="00662566">
      <w:pPr>
        <w:pStyle w:val="Heading1"/>
        <w:spacing w:after="0"/>
        <w:ind w:left="-4"/>
      </w:pPr>
      <w:r>
        <w:rPr>
          <w:sz w:val="24"/>
        </w:rPr>
        <w:t>1.</w:t>
      </w:r>
      <w:r>
        <w:t>DO OBJETO</w:t>
      </w:r>
    </w:p>
    <w:p w:rsidR="009C7801" w:rsidRDefault="00662566">
      <w:pPr>
        <w:spacing w:after="3" w:line="271" w:lineRule="auto"/>
        <w:ind w:left="-5" w:right="-15"/>
        <w:jc w:val="left"/>
      </w:pPr>
      <w:r>
        <w:t>Licenças de software dos pontos de acesso e firewall e suporte , por meio de Dispensa de Licitação, conforme condições, quantidades e exigências estabelecidas neste Termo de Referência.</w:t>
      </w:r>
    </w:p>
    <w:tbl>
      <w:tblPr>
        <w:tblStyle w:val="TableGrid"/>
        <w:tblW w:w="9284" w:type="dxa"/>
        <w:tblInd w:w="-92" w:type="dxa"/>
        <w:tblCellMar>
          <w:top w:w="56" w:type="dxa"/>
          <w:left w:w="57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778"/>
        <w:gridCol w:w="4395"/>
        <w:gridCol w:w="956"/>
        <w:gridCol w:w="1596"/>
        <w:gridCol w:w="1559"/>
      </w:tblGrid>
      <w:tr w:rsidR="009C7801">
        <w:trPr>
          <w:trHeight w:val="10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9C7801" w:rsidRDefault="00662566">
            <w:pPr>
              <w:spacing w:after="0" w:line="259" w:lineRule="auto"/>
              <w:ind w:left="102" w:firstLine="0"/>
              <w:jc w:val="left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9C7801" w:rsidRDefault="00662566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9C7801" w:rsidRDefault="00662566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9C7801" w:rsidRDefault="00662566">
            <w:pPr>
              <w:spacing w:after="5" w:line="283" w:lineRule="auto"/>
              <w:ind w:left="413" w:firstLine="174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9C7801" w:rsidRDefault="00662566">
            <w:pPr>
              <w:spacing w:after="0" w:line="259" w:lineRule="auto"/>
              <w:ind w:left="431" w:firstLine="0"/>
              <w:jc w:val="left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9C7801" w:rsidRDefault="00662566">
            <w:pPr>
              <w:spacing w:after="5" w:line="283" w:lineRule="auto"/>
              <w:ind w:left="436" w:firstLine="269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9C7801" w:rsidRDefault="00662566">
            <w:pPr>
              <w:spacing w:after="0" w:line="259" w:lineRule="auto"/>
              <w:ind w:left="663" w:firstLine="0"/>
              <w:jc w:val="left"/>
            </w:pPr>
            <w:r>
              <w:rPr>
                <w:b/>
                <w:sz w:val="20"/>
              </w:rPr>
              <w:t>(total)</w:t>
            </w:r>
          </w:p>
        </w:tc>
      </w:tr>
      <w:tr w:rsidR="009C7801">
        <w:trPr>
          <w:trHeight w:val="107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right="89" w:firstLine="0"/>
              <w:jc w:val="center"/>
            </w:pPr>
            <w: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01" w:rsidRDefault="00662566">
            <w:pPr>
              <w:spacing w:after="0" w:line="259" w:lineRule="auto"/>
              <w:ind w:left="87" w:right="100" w:firstLine="0"/>
            </w:pPr>
            <w:r>
              <w:t>FortiGate-80F Enterprise Protection (para o Firewall FG-80F – SERIAL FGT80FTK22042612) – com vigência de 12 meses.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1" w:firstLine="0"/>
              <w:jc w:val="center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firstLine="0"/>
              <w:jc w:val="left"/>
            </w:pPr>
            <w:r>
              <w:t>R$ 9.992,12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R$ 9.992,12</w:t>
            </w:r>
          </w:p>
        </w:tc>
      </w:tr>
      <w:tr w:rsidR="009C7801">
        <w:trPr>
          <w:trHeight w:val="254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right="89" w:firstLine="0"/>
              <w:jc w:val="center"/>
            </w:pPr>
            <w: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01" w:rsidRDefault="00662566">
            <w:pPr>
              <w:spacing w:after="0" w:line="265" w:lineRule="auto"/>
              <w:ind w:left="87" w:right="100" w:firstLine="0"/>
            </w:pPr>
            <w:r>
              <w:t>FortiAP-231F 24x7 FortiCare Contract para os Acess Points AP231F – SERIAIS FP231FTF2209BBS9,</w:t>
            </w:r>
          </w:p>
          <w:p w:rsidR="009C7801" w:rsidRDefault="00662566">
            <w:pPr>
              <w:spacing w:after="0" w:line="259" w:lineRule="auto"/>
              <w:ind w:left="87" w:firstLine="0"/>
              <w:jc w:val="left"/>
            </w:pPr>
            <w:r>
              <w:t>FP231FTF2209BBVL,</w:t>
            </w:r>
          </w:p>
          <w:p w:rsidR="009C7801" w:rsidRDefault="00662566">
            <w:pPr>
              <w:spacing w:after="0" w:line="259" w:lineRule="auto"/>
              <w:ind w:left="87" w:firstLine="0"/>
              <w:jc w:val="left"/>
            </w:pPr>
            <w:r>
              <w:t>FP231FTF2209BC13,</w:t>
            </w:r>
          </w:p>
          <w:p w:rsidR="009C7801" w:rsidRDefault="00662566">
            <w:pPr>
              <w:spacing w:after="0" w:line="259" w:lineRule="auto"/>
              <w:ind w:left="87" w:firstLine="0"/>
              <w:jc w:val="left"/>
            </w:pPr>
            <w:r>
              <w:t>FP231FTF2209BC15,</w:t>
            </w:r>
          </w:p>
          <w:p w:rsidR="009C7801" w:rsidRDefault="00662566">
            <w:pPr>
              <w:spacing w:after="0" w:line="259" w:lineRule="auto"/>
              <w:ind w:left="87" w:firstLine="0"/>
              <w:jc w:val="left"/>
            </w:pPr>
            <w:r>
              <w:t>FP231FTF2209BC32,</w:t>
            </w:r>
          </w:p>
          <w:p w:rsidR="009C7801" w:rsidRDefault="00662566">
            <w:pPr>
              <w:tabs>
                <w:tab w:val="right" w:pos="4300"/>
              </w:tabs>
              <w:spacing w:after="0" w:line="259" w:lineRule="auto"/>
              <w:ind w:left="0" w:firstLine="0"/>
              <w:jc w:val="left"/>
            </w:pPr>
            <w:r>
              <w:t>FP231FTF2209BC3N</w:t>
            </w:r>
            <w:r>
              <w:tab/>
              <w:t>e</w:t>
            </w:r>
          </w:p>
          <w:p w:rsidR="009C7801" w:rsidRDefault="00662566">
            <w:pPr>
              <w:spacing w:after="0" w:line="259" w:lineRule="auto"/>
              <w:ind w:left="87" w:firstLine="0"/>
              <w:jc w:val="left"/>
            </w:pPr>
            <w:r>
              <w:t>P231FTF2209BCBH – com vigência de</w:t>
            </w:r>
          </w:p>
          <w:p w:rsidR="009C7801" w:rsidRDefault="00662566">
            <w:pPr>
              <w:spacing w:after="0" w:line="259" w:lineRule="auto"/>
              <w:ind w:left="87" w:firstLine="0"/>
              <w:jc w:val="left"/>
            </w:pPr>
            <w:r>
              <w:t>12 meses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1" w:firstLine="0"/>
              <w:jc w:val="center"/>
            </w:pPr>
            <w: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firstLine="0"/>
              <w:jc w:val="left"/>
            </w:pPr>
            <w:r>
              <w:t>R$ 323,67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firstLine="0"/>
              <w:jc w:val="left"/>
            </w:pPr>
            <w:r>
              <w:t>R$ 2.265,69</w:t>
            </w:r>
          </w:p>
        </w:tc>
      </w:tr>
      <w:tr w:rsidR="009C7801">
        <w:trPr>
          <w:trHeight w:val="20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right="89" w:firstLine="0"/>
              <w:jc w:val="center"/>
            </w:pPr>
            <w: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01" w:rsidRDefault="00662566">
            <w:pPr>
              <w:spacing w:after="0" w:line="252" w:lineRule="auto"/>
              <w:ind w:left="87" w:right="100" w:firstLine="0"/>
            </w:pPr>
            <w:r>
              <w:t>Suporte Remoto – de 2h/mês, totalizando 24h/ano. ( Período de atendimento 7x24h, plantão 24h, Acompanhamento e</w:t>
            </w:r>
          </w:p>
          <w:p w:rsidR="009C7801" w:rsidRDefault="00662566">
            <w:pPr>
              <w:spacing w:after="0" w:line="259" w:lineRule="auto"/>
              <w:ind w:left="87" w:right="100" w:firstLine="0"/>
            </w:pPr>
            <w:r>
              <w:t>Execução das Atividade para Upgrade de Versão e Tempo de Inicio Atendimento - Normal Até 08h e Urgente Até 01h) – pelo perído de 12 meses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1" w:firstLine="0"/>
              <w:jc w:val="center"/>
            </w:pPr>
            <w: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firstLine="0"/>
              <w:jc w:val="left"/>
            </w:pPr>
            <w:r>
              <w:t>R$ 7.200,00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firstLine="0"/>
              <w:jc w:val="left"/>
            </w:pPr>
            <w:r>
              <w:t>R$ 7.200,00</w:t>
            </w:r>
          </w:p>
        </w:tc>
      </w:tr>
      <w:tr w:rsidR="009C7801">
        <w:trPr>
          <w:trHeight w:val="184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7801" w:rsidRDefault="009C7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801" w:rsidRDefault="009C7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801" w:rsidRDefault="009C7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firstLine="0"/>
              <w:jc w:val="right"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01" w:rsidRDefault="00662566">
            <w:pPr>
              <w:spacing w:after="0" w:line="259" w:lineRule="auto"/>
              <w:ind w:left="0" w:firstLine="0"/>
              <w:jc w:val="left"/>
            </w:pPr>
            <w:r>
              <w:t>R$ 19.457,81</w:t>
            </w:r>
          </w:p>
        </w:tc>
      </w:tr>
    </w:tbl>
    <w:p w:rsidR="009C7801" w:rsidRDefault="00662566">
      <w:pPr>
        <w:ind w:left="67" w:right="133"/>
      </w:pPr>
      <w:r>
        <w:t>A presente contratação é caracterizada como serviço comum de natureza técnica, uma vez que os padrões de desempenho e qualidade podem ser objetivamente definidos neste Termo de Referência, com especificações usuais de mercado, permitindo a identificação da</w:t>
      </w:r>
      <w:r>
        <w:t xml:space="preserve"> proposta mais vantajosa, ainda que em procedimento de contratação direta por dispensa, conforme legislação vigente.</w:t>
      </w:r>
    </w:p>
    <w:p w:rsidR="009C7801" w:rsidRDefault="00662566">
      <w:pPr>
        <w:pStyle w:val="Heading1"/>
        <w:ind w:left="-4"/>
      </w:pPr>
      <w:r>
        <w:rPr>
          <w:sz w:val="24"/>
        </w:rPr>
        <w:t>2.</w:t>
      </w:r>
      <w:r>
        <w:t>FUNDAMENTOS DA CONTRATAÇÃO</w:t>
      </w:r>
    </w:p>
    <w:p w:rsidR="009C7801" w:rsidRDefault="00662566">
      <w:pPr>
        <w:ind w:left="67" w:right="133"/>
      </w:pPr>
      <w:r>
        <w:t>A contratação tem por objetivo garantir a segurança, integridade e continuidade da infraestrutura de rede da C</w:t>
      </w:r>
      <w:r>
        <w:t>âmara Municipal de Vereadores de Canguçu.</w:t>
      </w:r>
    </w:p>
    <w:p w:rsidR="009C7801" w:rsidRDefault="00662566">
      <w:pPr>
        <w:ind w:left="67" w:right="133"/>
      </w:pPr>
      <w:r>
        <w:t xml:space="preserve">O firewall e os pontos de acesso sem fio são componentes essenciais para o funcionamento da rede institucional, sendo responsáveis pelo controle do tráfego de dados, proteção contra </w:t>
      </w:r>
      <w:r>
        <w:lastRenderedPageBreak/>
        <w:t>acessos indevidos e mitigação de</w:t>
      </w:r>
      <w:r>
        <w:t xml:space="preserve"> ameaças cibernéticas que possam comprometer sistemas, informações e serviços utilizados pela Administração.</w:t>
      </w:r>
    </w:p>
    <w:p w:rsidR="009C7801" w:rsidRDefault="00662566">
      <w:pPr>
        <w:ind w:left="67" w:right="133"/>
      </w:pPr>
      <w:r>
        <w:t>A subscrição das licenças FortiGate-80F Enterprise Protection e FortiAP-231F 24x7 FortiCare possibilita acesso a atualizações de segurança, filtros</w:t>
      </w:r>
      <w:r>
        <w:t xml:space="preserve"> de conteúdo, mecanismos de prevenção contra intrusões e suporte técnico especializado, garantindo que os equipamentos permaneçam atualizados e protegidos contra vulnerabilidades.</w:t>
      </w:r>
    </w:p>
    <w:p w:rsidR="009C7801" w:rsidRDefault="00662566">
      <w:pPr>
        <w:ind w:left="67" w:right="133"/>
      </w:pPr>
      <w:r>
        <w:t>Além disso, a contratação de suporte remoto especializado permitirá acompanh</w:t>
      </w:r>
      <w:r>
        <w:t>amento técnico contínuo, execução de atualizações de versão, resposta rápida a eventuais falhas e redução do tempo de indisponibilidade dos serviços de rede, contribuindo para a eficiência operacional e para a continuidade das atividades institucionais.</w:t>
      </w:r>
    </w:p>
    <w:p w:rsidR="009C7801" w:rsidRDefault="00662566">
      <w:pPr>
        <w:spacing w:after="434"/>
        <w:ind w:left="67" w:right="133"/>
      </w:pPr>
      <w:r>
        <w:t xml:space="preserve">A </w:t>
      </w:r>
      <w:r>
        <w:t>contratação será realizada nos termos da Lei nº 14.133/2021, assegurando a legalidade, economicidade e vantajosidade da aquisição.</w:t>
      </w:r>
    </w:p>
    <w:p w:rsidR="009C7801" w:rsidRDefault="00662566">
      <w:pPr>
        <w:pStyle w:val="Heading1"/>
        <w:spacing w:after="97"/>
        <w:ind w:left="-4"/>
      </w:pPr>
      <w:r>
        <w:rPr>
          <w:sz w:val="24"/>
        </w:rPr>
        <w:t>3.</w:t>
      </w:r>
      <w:r>
        <w:t>DESCRIÇÃO DA SOLUÇÃO COMO UM TODO</w:t>
      </w:r>
    </w:p>
    <w:p w:rsidR="009C7801" w:rsidRDefault="00662566">
      <w:pPr>
        <w:ind w:left="67" w:right="133"/>
      </w:pPr>
      <w:r>
        <w:t>A solução proposta contempla a contratação de empresa especializada para fornecimento de licenças de software e serviços de suporte técnico para os equipamentos de rede Fortinet utilizados pela Câmara Municipal de Canguçu.</w:t>
      </w:r>
    </w:p>
    <w:p w:rsidR="009C7801" w:rsidRDefault="00662566">
      <w:pPr>
        <w:ind w:left="67" w:right="133"/>
      </w:pPr>
      <w:r>
        <w:t>A contratação inclui a subscrição</w:t>
      </w:r>
      <w:r>
        <w:t xml:space="preserve"> da licença FortiGate-80F Enterprise Protection para o firewall FG-80F e das licenças FortiAP-231F 24x7 FortiCare Contract para os access points AP231F, além da prestação de serviço de suporte remoto especializado, destinado ao acompanhamento técnico da in</w:t>
      </w:r>
      <w:r>
        <w:t>fraestrutura de rede institucional.</w:t>
      </w:r>
    </w:p>
    <w:p w:rsidR="009C7801" w:rsidRDefault="00662566">
      <w:pPr>
        <w:ind w:left="67" w:right="133"/>
      </w:pPr>
      <w:r>
        <w:t>As licenças de proteção permitirão o acesso a atualizações de segurança, filtros de conteúdo, mecanismos de prevenção contra intrusões e demais funcionalidades voltadas à proteção da rede, contribuindo para a mitigação d</w:t>
      </w:r>
      <w:r>
        <w:t>e ataques cibernéticos e para a segurança do tráfego de dados internos e externos da instituição.</w:t>
      </w:r>
    </w:p>
    <w:p w:rsidR="009C7801" w:rsidRDefault="00662566">
      <w:pPr>
        <w:ind w:left="67" w:right="133"/>
      </w:pPr>
      <w:r>
        <w:t xml:space="preserve">O suporte técnico especializado proporcionará resposta rápida a eventuais falhas, execução de atualizações de versão (upgrade), acompanhamento das atividades </w:t>
      </w:r>
      <w:r>
        <w:t>relacionadas à segurança da rede e redução do tempo de indisponibilidade dos serviços, garantindo maior confiabilidade e eficiência operacional da infraestrutura tecnológica.</w:t>
      </w:r>
    </w:p>
    <w:p w:rsidR="009C7801" w:rsidRDefault="00662566">
      <w:pPr>
        <w:spacing w:after="139"/>
        <w:ind w:left="67" w:right="133"/>
      </w:pPr>
      <w:r>
        <w:t>Dessa forma, a contratação configura-se como medida preventiva e estratégica, des</w:t>
      </w:r>
      <w:r>
        <w:t>tinada à proteção dos ativos digitais da Câmara Municipal, ao adequado tratamento das informações institucionais e à garantia da continuidade e segurança dos serviços legislativos prestados à sociedade.</w:t>
      </w:r>
    </w:p>
    <w:p w:rsidR="009C7801" w:rsidRDefault="00662566">
      <w:pPr>
        <w:spacing w:after="280"/>
        <w:ind w:left="67" w:right="133"/>
      </w:pPr>
      <w:r>
        <w:t>Assim, a contratação mostra-se necessária e vantajosa</w:t>
      </w:r>
      <w:r>
        <w:t xml:space="preserve"> para garantir a segurança da informação, a continuidade dos serviços institucionais e o adequado funcionamento da infraestrutura tecnológica da Câmara Municipal.</w:t>
      </w:r>
    </w:p>
    <w:p w:rsidR="009C7801" w:rsidRDefault="00662566">
      <w:pPr>
        <w:pStyle w:val="Heading1"/>
        <w:ind w:left="-4"/>
      </w:pPr>
      <w:r>
        <w:rPr>
          <w:sz w:val="24"/>
        </w:rPr>
        <w:t>4.</w:t>
      </w:r>
      <w:r>
        <w:t>REQUISITOS DA CONTRATAÇÃO</w:t>
      </w:r>
    </w:p>
    <w:p w:rsidR="009C7801" w:rsidRDefault="00662566">
      <w:pPr>
        <w:ind w:left="67" w:right="133"/>
      </w:pPr>
      <w:r>
        <w:t>A contratada deverá fornecer as licenças de software e serviços d</w:t>
      </w:r>
      <w:r>
        <w:t>e suporte técnico especializado para os equipamentos de rede Fortinet utilizados pela Câmara Municipal de Vereadores de Canguçu, em total conformidade com as especificações estabelecidas neste Termo de Referência e nos Anexos da Dispensa de Licitação nº 04</w:t>
      </w:r>
      <w:r>
        <w:t>/2026 – Processo nº 06/2026 da Câmara Municipal de Canguçu.</w:t>
      </w:r>
    </w:p>
    <w:p w:rsidR="009C7801" w:rsidRDefault="00662566">
      <w:pPr>
        <w:ind w:left="67" w:right="133"/>
      </w:pPr>
      <w:r>
        <w:t xml:space="preserve">As licenças deverão possuir vigência de 12 (doze) meses, contemplando a subscrição FortiGate-80F Enterprise Protection para o firewall FG-80F e FortiAP-231F 24x7 FortiCare Contract para os access </w:t>
      </w:r>
      <w:r>
        <w:t>points AP231F, garantindo acesso a atualizações de segurança, suporte técnico especializado e funcionalidades necessárias à proteção da infraestrutura de rede da instituição.</w:t>
      </w:r>
    </w:p>
    <w:p w:rsidR="009C7801" w:rsidRDefault="00662566">
      <w:pPr>
        <w:ind w:left="67" w:right="133"/>
      </w:pPr>
      <w:r>
        <w:t xml:space="preserve">O serviço deverá incluir suporte remoto especializado com disponibilidade de até </w:t>
      </w:r>
      <w:r>
        <w:t>2 (duas) horas mensais, totalizando 24 (vinte e quatro) horas anuais, com atendimento em regime 7x24h, contemplando acompanhamento técnico da infraestrutura de rede, execução de atualizações de versão (upgrade) e atendimento remoto para resolução de incide</w:t>
      </w:r>
      <w:r>
        <w:t>ntes.</w:t>
      </w:r>
    </w:p>
    <w:p w:rsidR="009C7801" w:rsidRDefault="00662566">
      <w:pPr>
        <w:spacing w:after="276"/>
        <w:ind w:left="67" w:right="133"/>
      </w:pPr>
      <w:r>
        <w:t>A contratada será responsável por todos os meios técnicos, operacionais e logísticos necessários à adequada execução dos serviços, devendo observar a legislação vigente e as boas práticas de segurança da informação, garantindo a continuidade dos serv</w:t>
      </w:r>
      <w:r>
        <w:t>iços institucionais e o pleno funcionamento da infraestrutura tecnológica da Administração.</w:t>
      </w:r>
    </w:p>
    <w:p w:rsidR="009C7801" w:rsidRDefault="00662566">
      <w:pPr>
        <w:pStyle w:val="Heading1"/>
        <w:ind w:left="-4"/>
      </w:pPr>
      <w:r>
        <w:rPr>
          <w:sz w:val="24"/>
        </w:rPr>
        <w:t>5.</w:t>
      </w:r>
      <w:r>
        <w:t>CRITÉRIOS DE PAGAMENTO</w:t>
      </w:r>
    </w:p>
    <w:p w:rsidR="009C7801" w:rsidRDefault="00662566">
      <w:pPr>
        <w:spacing w:after="269"/>
        <w:ind w:left="67" w:right="133"/>
      </w:pPr>
      <w:r>
        <w:t>O pagamento será realizado mediante apresentação de nota fiscal pela contratada, no prazo de até 05 (cinco) dias utéis após sua emissão.</w:t>
      </w:r>
    </w:p>
    <w:p w:rsidR="009C7801" w:rsidRDefault="00662566">
      <w:pPr>
        <w:pStyle w:val="Heading1"/>
        <w:ind w:left="-4"/>
      </w:pPr>
      <w:r>
        <w:rPr>
          <w:sz w:val="24"/>
        </w:rPr>
        <w:t>6.</w:t>
      </w:r>
      <w:r>
        <w:t>OBRIGAÇÕES DA CONTRATANTE</w:t>
      </w:r>
    </w:p>
    <w:p w:rsidR="009C7801" w:rsidRDefault="00662566">
      <w:pPr>
        <w:spacing w:after="0"/>
        <w:ind w:left="67" w:right="133"/>
      </w:pPr>
      <w:r>
        <w:t>Efetuar o pagamento devido à CONTRATADA, conforme definido neste Termo de</w:t>
      </w:r>
    </w:p>
    <w:p w:rsidR="009C7801" w:rsidRDefault="00662566">
      <w:pPr>
        <w:ind w:left="67" w:right="133"/>
      </w:pPr>
      <w:r>
        <w:t>Referência.</w:t>
      </w:r>
    </w:p>
    <w:p w:rsidR="009C7801" w:rsidRDefault="00662566">
      <w:pPr>
        <w:ind w:left="67" w:right="133"/>
      </w:pPr>
      <w:r>
        <w:t>Fornecer à CONTRATADA as informações necessárias para a correta execução dos serviços e ativação das licenças contratadas.</w:t>
      </w:r>
    </w:p>
    <w:p w:rsidR="009C7801" w:rsidRDefault="00662566">
      <w:pPr>
        <w:ind w:left="67" w:right="133"/>
      </w:pPr>
      <w:r>
        <w:t>Acompanhar e fiscaliz</w:t>
      </w:r>
      <w:r>
        <w:t>ar a execução do objeto, verificando o cumprimento das condições estabelecidas neste Termo de Referência.</w:t>
      </w:r>
    </w:p>
    <w:p w:rsidR="009C7801" w:rsidRDefault="00662566">
      <w:pPr>
        <w:spacing w:after="172"/>
        <w:ind w:left="67" w:right="133"/>
      </w:pPr>
      <w:r>
        <w:t>Adotar providências administrativas cabíveis caso os serviços ou licenças fornecidos não atendam às especificações pactuadas, aplicando as sanções previstas na legislação vigente quando necessário.</w:t>
      </w:r>
    </w:p>
    <w:p w:rsidR="009C7801" w:rsidRDefault="00662566">
      <w:pPr>
        <w:spacing w:after="273"/>
        <w:ind w:left="67" w:right="133"/>
      </w:pPr>
      <w:r>
        <w:t>Designar servidor pertencente ao quadro da Administração p</w:t>
      </w:r>
      <w:r>
        <w:t>ara acompanhar e fiscalizar a execução do objeto contratado.</w:t>
      </w:r>
    </w:p>
    <w:p w:rsidR="009C7801" w:rsidRDefault="00662566">
      <w:pPr>
        <w:pStyle w:val="Heading1"/>
        <w:ind w:left="-4"/>
      </w:pPr>
      <w:r>
        <w:rPr>
          <w:sz w:val="24"/>
        </w:rPr>
        <w:t>7.</w:t>
      </w:r>
      <w:r>
        <w:t>OBRIGAÇÕES DA CONTRATADA</w:t>
      </w:r>
    </w:p>
    <w:p w:rsidR="009C7801" w:rsidRDefault="00662566">
      <w:pPr>
        <w:ind w:left="67" w:right="133"/>
      </w:pPr>
      <w:r>
        <w:t>A contratada deverá cumprir todas as obrigações previstas neste Termo de Referência e nos Anexos da Dispensa de Licitação nº 04/2026, assumindo responsabilidade integra</w:t>
      </w:r>
      <w:r>
        <w:t>l pelo fornecimento do objeto. Entre suas obrigações, destacam-se:</w:t>
      </w:r>
    </w:p>
    <w:p w:rsidR="009C7801" w:rsidRDefault="00662566">
      <w:pPr>
        <w:ind w:left="67" w:right="133"/>
      </w:pPr>
      <w:r>
        <w:t>Fornecer</w:t>
      </w:r>
      <w:r>
        <w:tab/>
        <w:t>as</w:t>
      </w:r>
      <w:r>
        <w:tab/>
        <w:t>licenças</w:t>
      </w:r>
      <w:r>
        <w:tab/>
        <w:t>de</w:t>
      </w:r>
      <w:r>
        <w:tab/>
        <w:t>software</w:t>
      </w:r>
      <w:r>
        <w:tab/>
        <w:t>e</w:t>
      </w:r>
      <w:r>
        <w:tab/>
        <w:t>serviços</w:t>
      </w:r>
      <w:r>
        <w:tab/>
        <w:t>de</w:t>
      </w:r>
      <w:r>
        <w:tab/>
        <w:t>suporte</w:t>
      </w:r>
      <w:r>
        <w:tab/>
        <w:t>técnico</w:t>
      </w:r>
      <w:r>
        <w:tab/>
        <w:t>conforme especificações técnicas estabelecidas;</w:t>
      </w:r>
    </w:p>
    <w:p w:rsidR="009C7801" w:rsidRDefault="00662566">
      <w:pPr>
        <w:ind w:left="67" w:right="133"/>
      </w:pPr>
      <w:r>
        <w:t>Garantir a ativação e disponibilidade das licenças pelo período de 12 (doze) m</w:t>
      </w:r>
      <w:r>
        <w:t>eses;</w:t>
      </w:r>
    </w:p>
    <w:p w:rsidR="009C7801" w:rsidRDefault="00662566">
      <w:pPr>
        <w:ind w:left="67" w:right="133"/>
      </w:pPr>
      <w:r>
        <w:t>Prestar suporte técnico remoto especializado conforme condições estabelecidas neste Termo de Referência;</w:t>
      </w:r>
    </w:p>
    <w:p w:rsidR="009C7801" w:rsidRDefault="00662566">
      <w:pPr>
        <w:ind w:left="67" w:right="133"/>
      </w:pPr>
      <w:r>
        <w:t>Responsabilizar-se por todos os custos relacionados ao fornecimento das licenças e à prestação dos serviços de suporte técnico;</w:t>
      </w:r>
    </w:p>
    <w:p w:rsidR="009C7801" w:rsidRDefault="00662566">
      <w:pPr>
        <w:spacing w:after="269"/>
        <w:ind w:left="67" w:right="133"/>
      </w:pPr>
      <w:r>
        <w:t>Garantir que os s</w:t>
      </w:r>
      <w:r>
        <w:t>erviços sejam prestados com qualidade, eficiência e em conformidade com as boas práticas de segurança da informação.</w:t>
      </w:r>
    </w:p>
    <w:p w:rsidR="009C7801" w:rsidRDefault="00662566">
      <w:pPr>
        <w:pStyle w:val="Heading1"/>
        <w:ind w:left="-4"/>
      </w:pPr>
      <w:r>
        <w:rPr>
          <w:sz w:val="24"/>
        </w:rPr>
        <w:t>8.</w:t>
      </w:r>
      <w:r>
        <w:t>ESTIMATIVA DE PREÇOS</w:t>
      </w:r>
    </w:p>
    <w:p w:rsidR="009C7801" w:rsidRDefault="00662566">
      <w:pPr>
        <w:spacing w:after="322" w:line="271" w:lineRule="auto"/>
        <w:ind w:left="-5" w:right="-15"/>
        <w:jc w:val="left"/>
      </w:pPr>
      <w:r>
        <w:t>O custo estimado total da aquisição é de R$ R$ 19.457,81 (dezenove mil, quatrocentos e cinquenta e sete reais e oite</w:t>
      </w:r>
      <w:r>
        <w:t>nta e um centavos), conforme no Item 1 desse Termo de Referência.</w:t>
      </w:r>
    </w:p>
    <w:p w:rsidR="009C7801" w:rsidRDefault="00662566">
      <w:pPr>
        <w:pStyle w:val="Heading1"/>
        <w:ind w:left="-4"/>
      </w:pPr>
      <w:r>
        <w:rPr>
          <w:sz w:val="24"/>
        </w:rPr>
        <w:t>9.</w:t>
      </w:r>
      <w:r>
        <w:t>ADEQUAÇÃO ORÇAMENTÁRIA</w:t>
      </w:r>
    </w:p>
    <w:p w:rsidR="009C7801" w:rsidRDefault="00662566">
      <w:pPr>
        <w:spacing w:after="0"/>
        <w:ind w:left="67" w:right="133"/>
      </w:pPr>
      <w:r>
        <w:t>O dispêndio decorrente da contratação ora pretendida decorrerá da seguinte dotação orçamentária:</w:t>
      </w:r>
    </w:p>
    <w:p w:rsidR="009C7801" w:rsidRDefault="00662566">
      <w:pPr>
        <w:spacing w:after="73" w:line="259" w:lineRule="auto"/>
        <w:ind w:left="-4"/>
        <w:jc w:val="left"/>
      </w:pPr>
      <w:r>
        <w:rPr>
          <w:b/>
        </w:rPr>
        <w:t>Unidade Orçamentária:</w:t>
      </w:r>
    </w:p>
    <w:p w:rsidR="009C7801" w:rsidRDefault="00662566">
      <w:pPr>
        <w:spacing w:after="3"/>
        <w:ind w:left="67" w:right="133"/>
      </w:pPr>
      <w:r>
        <w:t>01.01 - CÂMARA MUNICIPAL DE VEREADORES</w:t>
      </w:r>
    </w:p>
    <w:p w:rsidR="009C7801" w:rsidRDefault="00662566">
      <w:pPr>
        <w:spacing w:after="23" w:line="259" w:lineRule="auto"/>
        <w:ind w:left="-4"/>
        <w:jc w:val="left"/>
      </w:pPr>
      <w:r>
        <w:rPr>
          <w:b/>
        </w:rPr>
        <w:t>Projeto/Atividade:</w:t>
      </w:r>
    </w:p>
    <w:p w:rsidR="009C7801" w:rsidRDefault="00662566">
      <w:pPr>
        <w:spacing w:after="3"/>
        <w:ind w:left="67" w:right="133"/>
      </w:pPr>
      <w:r>
        <w:t>2.001 – Manutenção das Atividades Legislativas</w:t>
      </w:r>
    </w:p>
    <w:p w:rsidR="009C7801" w:rsidRDefault="00662566">
      <w:pPr>
        <w:spacing w:after="23" w:line="259" w:lineRule="auto"/>
        <w:ind w:left="-4"/>
        <w:jc w:val="left"/>
      </w:pPr>
      <w:r>
        <w:rPr>
          <w:b/>
        </w:rPr>
        <w:t>Categoria Econômica</w:t>
      </w:r>
    </w:p>
    <w:p w:rsidR="009C7801" w:rsidRDefault="00662566">
      <w:pPr>
        <w:spacing w:after="3"/>
        <w:ind w:left="67" w:right="133"/>
      </w:pPr>
      <w:r>
        <w:t>3 – Despesas Correntes</w:t>
      </w:r>
    </w:p>
    <w:p w:rsidR="009C7801" w:rsidRDefault="00662566">
      <w:pPr>
        <w:pStyle w:val="Heading1"/>
        <w:spacing w:after="23"/>
        <w:ind w:left="-4"/>
      </w:pPr>
      <w:r>
        <w:t>Natureza da Despesa e saldo Disponível atual</w:t>
      </w:r>
    </w:p>
    <w:p w:rsidR="009C7801" w:rsidRDefault="00662566">
      <w:pPr>
        <w:spacing w:after="25"/>
        <w:ind w:left="129" w:right="5467" w:hanging="72"/>
      </w:pPr>
      <w:r>
        <w:t xml:space="preserve">3.3.90.40 – SERVICOS DE T.I.C. </w:t>
      </w:r>
      <w:r>
        <w:rPr>
          <w:b/>
          <w:u w:val="single" w:color="000000"/>
        </w:rPr>
        <w:t>- Itens 01 e 02:</w:t>
      </w:r>
    </w:p>
    <w:p w:rsidR="009C7801" w:rsidRDefault="00662566">
      <w:pPr>
        <w:pStyle w:val="Heading1"/>
        <w:spacing w:after="0"/>
        <w:ind w:left="-4"/>
      </w:pPr>
      <w:r>
        <w:t>Rubrica (desdobramento da Natureza da Despesa)</w:t>
      </w:r>
    </w:p>
    <w:p w:rsidR="009C7801" w:rsidRDefault="00662566">
      <w:pPr>
        <w:spacing w:after="3" w:line="271" w:lineRule="auto"/>
        <w:ind w:left="-5" w:right="3670"/>
        <w:jc w:val="left"/>
      </w:pPr>
      <w:r>
        <w:t xml:space="preserve">3.3.90.40.06.00.00.00 – LOCACAO DE SOFTWARE Cód. Reduzido: 6994 </w:t>
      </w:r>
      <w:r>
        <w:rPr>
          <w:b/>
          <w:u w:val="single" w:color="000000"/>
        </w:rPr>
        <w:t>Item 03:</w:t>
      </w:r>
    </w:p>
    <w:p w:rsidR="009C7801" w:rsidRDefault="00662566">
      <w:pPr>
        <w:pStyle w:val="Heading1"/>
        <w:spacing w:after="0"/>
        <w:ind w:left="-4"/>
      </w:pPr>
      <w:r>
        <w:t>Rubrica (desdobramento da Natureza da Despesa)</w:t>
      </w:r>
    </w:p>
    <w:p w:rsidR="009C7801" w:rsidRDefault="00662566">
      <w:pPr>
        <w:spacing w:after="257"/>
        <w:ind w:left="240" w:right="3035" w:hanging="183"/>
      </w:pPr>
      <w:r>
        <w:t>3.3.90.40.99.00.00.00 – OUTROS SERVICOS DE TIC Cód. Reduzido: 6995</w:t>
      </w:r>
    </w:p>
    <w:p w:rsidR="009C7801" w:rsidRDefault="00662566">
      <w:pPr>
        <w:pStyle w:val="Heading1"/>
        <w:ind w:left="-4"/>
      </w:pPr>
      <w:r>
        <w:rPr>
          <w:sz w:val="24"/>
        </w:rPr>
        <w:t>10.</w:t>
      </w:r>
      <w:r>
        <w:t>OUTRAS ESPECIFICAÇÕES E DISPOSIÇÕES GERAIS</w:t>
      </w:r>
    </w:p>
    <w:p w:rsidR="009C7801" w:rsidRDefault="00662566">
      <w:pPr>
        <w:ind w:left="67" w:right="133"/>
      </w:pPr>
      <w:r>
        <w:t>Antes de apresentar sua</w:t>
      </w:r>
      <w:r>
        <w:t xml:space="preserve"> proposta, a contratada deverá analisar e consultar todas as especificações, executando todos os levantamentos necessários, de modo a não incorrer em omissões, que jamais poderão ser alegadas em favor de eventuais pretensões de acréscimos de preços ou alte</w:t>
      </w:r>
      <w:r>
        <w:t>ração da data de execução dos serviços.</w:t>
      </w:r>
    </w:p>
    <w:p w:rsidR="009C7801" w:rsidRDefault="00662566">
      <w:pPr>
        <w:spacing w:after="1234"/>
        <w:ind w:left="67" w:right="133"/>
      </w:pPr>
      <w:r>
        <w:t>É dever da contratada verificar previamente as datas e prazos estabelecidos neste Termo de Referência. Dessa forma, não será admitida como justificativa para atrasos qualquer falha no cumprimento dos prazos.</w:t>
      </w:r>
    </w:p>
    <w:p w:rsidR="009C7801" w:rsidRDefault="00662566">
      <w:pPr>
        <w:spacing w:after="454" w:line="259" w:lineRule="auto"/>
        <w:ind w:left="268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4823" name="Group 4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3" style="width:189.55pt;height:0.65999pt;mso-position-horizontal-relative:char;mso-position-vertical-relative:line" coordsize="24072,83">
                <v:shape id="Shape 347" style="position:absolute;width:24072;height:0;left:0;top:0;" coordsize="2407285,0" path="m0,0l2407285,0">
                  <v:stroke weight="0.65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C7801" w:rsidRDefault="00662566">
      <w:pPr>
        <w:pStyle w:val="Heading1"/>
        <w:spacing w:after="10"/>
        <w:ind w:left="2065" w:firstLine="0"/>
      </w:pPr>
      <w:r>
        <w:rPr>
          <w:sz w:val="24"/>
        </w:rPr>
        <w:t>CARLOS EDUARDO DOMINGUES MARTINS</w:t>
      </w:r>
    </w:p>
    <w:p w:rsidR="009C7801" w:rsidRDefault="00662566">
      <w:pPr>
        <w:spacing w:after="0" w:line="259" w:lineRule="auto"/>
        <w:ind w:left="2156" w:firstLine="0"/>
        <w:jc w:val="left"/>
      </w:pPr>
      <w:r>
        <w:rPr>
          <w:sz w:val="24"/>
        </w:rPr>
        <w:t>Presidente da Câmara Municipal de Canguçu</w:t>
      </w:r>
    </w:p>
    <w:sectPr w:rsidR="009C7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66" w:right="1736" w:bottom="863" w:left="1701" w:header="285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2566">
      <w:pPr>
        <w:spacing w:after="0" w:line="240" w:lineRule="auto"/>
      </w:pPr>
      <w:r>
        <w:separator/>
      </w:r>
    </w:p>
  </w:endnote>
  <w:endnote w:type="continuationSeparator" w:id="0">
    <w:p w:rsidR="00000000" w:rsidRDefault="0066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1" w:rsidRDefault="00662566">
    <w:pPr>
      <w:spacing w:after="0" w:line="259" w:lineRule="auto"/>
      <w:ind w:left="2192" w:firstLine="0"/>
      <w:jc w:val="left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1" w:rsidRDefault="00662566">
    <w:pPr>
      <w:spacing w:after="0" w:line="259" w:lineRule="auto"/>
      <w:ind w:left="2192" w:firstLine="0"/>
      <w:jc w:val="left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801" w:rsidRDefault="00662566">
    <w:pPr>
      <w:spacing w:after="0" w:line="259" w:lineRule="auto"/>
      <w:ind w:left="2192" w:firstLine="0"/>
      <w:jc w:val="left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2566">
      <w:pPr>
        <w:spacing w:after="0" w:line="240" w:lineRule="auto"/>
      </w:pPr>
      <w:r>
        <w:separator/>
      </w:r>
    </w:p>
  </w:footnote>
  <w:footnote w:type="continuationSeparator" w:id="0">
    <w:p w:rsidR="00000000" w:rsidRDefault="0066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9C7801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9C7801" w:rsidRDefault="00662566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9C7801" w:rsidRDefault="00662566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9C7801" w:rsidRDefault="00662566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9C7801" w:rsidRDefault="00662566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9C7801" w:rsidRDefault="00662566">
    <w:pPr>
      <w:spacing w:after="0" w:line="259" w:lineRule="auto"/>
      <w:ind w:left="-1701" w:right="3853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6456" name="Group 64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6457" name="Picture 64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56" style="width:53.65pt;height:54.85pt;position:absolute;mso-position-horizontal-relative:page;mso-position-horizontal:absolute;margin-left:278.9pt;mso-position-vertical-relative:page;margin-top:14.25pt;" coordsize="6813,6965">
              <v:shape id="Picture 6457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9C7801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9C7801" w:rsidRDefault="00662566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9C7801" w:rsidRDefault="00662566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9C7801" w:rsidRDefault="00662566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9C7801" w:rsidRDefault="00662566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9C7801" w:rsidRDefault="00662566">
    <w:pPr>
      <w:spacing w:after="0" w:line="259" w:lineRule="auto"/>
      <w:ind w:left="-1701" w:right="3853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6422" name="Group 6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6423" name="Picture 6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422" style="width:53.65pt;height:54.85pt;position:absolute;mso-position-horizontal-relative:page;mso-position-horizontal:absolute;margin-left:278.9pt;mso-position-vertical-relative:page;margin-top:14.25pt;" coordsize="6813,6965">
              <v:shape id="Picture 6423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9C7801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9C7801" w:rsidRDefault="00662566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9C7801" w:rsidRDefault="00662566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9C7801" w:rsidRDefault="00662566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9C7801" w:rsidRDefault="00662566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9C7801" w:rsidRDefault="00662566">
    <w:pPr>
      <w:spacing w:after="0" w:line="259" w:lineRule="auto"/>
      <w:ind w:left="-1701" w:right="3853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6388" name="Group 6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6389" name="Picture 63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88" style="width:53.65pt;height:54.85pt;position:absolute;mso-position-horizontal-relative:page;mso-position-horizontal:absolute;margin-left:278.9pt;mso-position-vertical-relative:page;margin-top:14.25pt;" coordsize="6813,6965">
              <v:shape id="Picture 6389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01"/>
    <w:rsid w:val="00662566"/>
    <w:rsid w:val="009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20EE259-F826-41A7-A30C-FBCF976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92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3"/>
      <w:ind w:left="1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7707</Characters>
  <Application>Microsoft Office Word</Application>
  <DocSecurity>4</DocSecurity>
  <Lines>64</Lines>
  <Paragraphs>18</Paragraphs>
  <ScaleCrop>false</ScaleCrop>
  <Company>Organization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word2</cp:lastModifiedBy>
  <cp:revision>2</cp:revision>
  <dcterms:created xsi:type="dcterms:W3CDTF">2026-04-09T14:08:00Z</dcterms:created>
  <dcterms:modified xsi:type="dcterms:W3CDTF">2026-04-09T14:08:00Z</dcterms:modified>
</cp:coreProperties>
</file>