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A3" w:rsidRDefault="009D28F8">
      <w:pPr>
        <w:spacing w:after="486" w:line="259" w:lineRule="auto"/>
        <w:ind w:left="0" w:right="149" w:firstLine="0"/>
        <w:jc w:val="center"/>
      </w:pPr>
      <w:bookmarkStart w:id="0" w:name="_GoBack"/>
      <w:bookmarkEnd w:id="0"/>
      <w:r>
        <w:rPr>
          <w:b/>
        </w:rPr>
        <w:t>CONTRATO Nº 08/2026</w:t>
      </w:r>
    </w:p>
    <w:p w:rsidR="00187EA3" w:rsidRDefault="009D28F8">
      <w:pPr>
        <w:spacing w:after="229" w:line="259" w:lineRule="auto"/>
        <w:ind w:left="2062"/>
        <w:jc w:val="left"/>
      </w:pPr>
      <w:r>
        <w:rPr>
          <w:b/>
        </w:rPr>
        <w:t>PROCESSO Nº 012/2026 – INEXIGIBILIDADE Nº 02/2026</w:t>
      </w:r>
    </w:p>
    <w:p w:rsidR="00187EA3" w:rsidRDefault="009D28F8">
      <w:pPr>
        <w:spacing w:after="122"/>
        <w:ind w:left="3"/>
      </w:pPr>
      <w:r>
        <w:rPr>
          <w:b/>
        </w:rPr>
        <w:t xml:space="preserve">CONTRATANTE: </w:t>
      </w:r>
      <w:r>
        <w:t>A CÂMARA MUNICIPAL DE VEREADORES DE CANGUÇU, Estado do Rio Grande do Sul, inscrito no CNPJ/MF sob nº 90.320.847/0001-46, com sede na cidade de Canguçu/RS, na Rua General Osório, 979, neste ato representado por seu Presidente, Carlos Eduardo Domingues Marti</w:t>
      </w:r>
      <w:r>
        <w:t>ns, portador do CPF: 000.100.310-06.</w:t>
      </w:r>
    </w:p>
    <w:p w:rsidR="00187EA3" w:rsidRDefault="009D28F8">
      <w:pPr>
        <w:spacing w:after="102"/>
        <w:ind w:left="3" w:right="126"/>
      </w:pPr>
      <w:r>
        <w:rPr>
          <w:b/>
        </w:rPr>
        <w:t xml:space="preserve">CONTRATADA: </w:t>
      </w:r>
      <w:r>
        <w:t>Empresa: TK Elevadores Brasil LTDA</w:t>
      </w:r>
      <w:r>
        <w:rPr>
          <w:b/>
        </w:rPr>
        <w:t xml:space="preserve">, </w:t>
      </w:r>
      <w:r>
        <w:t>localizada na Av. Ferreira Viana nº 715, Vila Marcos, CEP: 96.085-000 Pelotas-RS, CNPJ: 90.347.840/0037-29, neste ato representado por seu procurador Matheus Cidade Machad</w:t>
      </w:r>
      <w:r>
        <w:t>o, portador do CPF: 854.785.470-34.</w:t>
      </w:r>
    </w:p>
    <w:p w:rsidR="00187EA3" w:rsidRDefault="009D28F8">
      <w:pPr>
        <w:spacing w:after="202"/>
        <w:ind w:left="3" w:right="126"/>
      </w:pPr>
      <w:r>
        <w:t>Firmam o presente contrato de prestação de serviços, de acordo com a Lei Federal nº 8.666/93 e suas alterações posteriores, e o Processo de Inexigibilidade nº 02/2026, conforme cláusulas e condições a seguir apresentadas</w:t>
      </w:r>
      <w:r>
        <w:t>.</w:t>
      </w:r>
    </w:p>
    <w:p w:rsidR="00187EA3" w:rsidRDefault="009D28F8">
      <w:pPr>
        <w:pStyle w:val="Heading1"/>
        <w:spacing w:after="137"/>
      </w:pPr>
      <w:r>
        <w:t>CLÁUSULA I - DO OBJETO DO CONTRATO</w:t>
      </w:r>
    </w:p>
    <w:p w:rsidR="00187EA3" w:rsidRDefault="009D28F8">
      <w:pPr>
        <w:ind w:left="3"/>
      </w:pPr>
      <w:r>
        <w:t>O</w:t>
      </w:r>
      <w:r>
        <w:tab/>
        <w:t>presente</w:t>
      </w:r>
      <w:r>
        <w:tab/>
        <w:t>contrato</w:t>
      </w:r>
      <w:r>
        <w:tab/>
        <w:t>tem</w:t>
      </w:r>
      <w:r>
        <w:tab/>
        <w:t>por</w:t>
      </w:r>
      <w:r>
        <w:tab/>
        <w:t>objetivo</w:t>
      </w:r>
      <w:r>
        <w:tab/>
        <w:t>a</w:t>
      </w:r>
      <w:r>
        <w:tab/>
        <w:t>conservação</w:t>
      </w:r>
      <w:r>
        <w:tab/>
        <w:t>e</w:t>
      </w:r>
      <w:r>
        <w:tab/>
        <w:t>assistência</w:t>
      </w:r>
      <w:r>
        <w:tab/>
        <w:t>técnica</w:t>
      </w:r>
      <w:r>
        <w:tab/>
        <w:t>de</w:t>
      </w:r>
      <w:r>
        <w:tab/>
        <w:t>01 equipamento conforme abaixo descrito no edifício:</w:t>
      </w:r>
    </w:p>
    <w:p w:rsidR="00187EA3" w:rsidRDefault="009D28F8">
      <w:pPr>
        <w:tabs>
          <w:tab w:val="center" w:pos="3598"/>
        </w:tabs>
        <w:ind w:left="-7" w:firstLine="0"/>
        <w:jc w:val="left"/>
      </w:pPr>
      <w:r>
        <w:t>Edifício:</w:t>
      </w:r>
      <w:r>
        <w:tab/>
        <w:t>CÂMARA DE VEREADORES DE CANGUÇU</w:t>
      </w:r>
    </w:p>
    <w:p w:rsidR="00187EA3" w:rsidRDefault="009D28F8">
      <w:pPr>
        <w:tabs>
          <w:tab w:val="center" w:pos="4007"/>
        </w:tabs>
        <w:ind w:left="-7" w:firstLine="0"/>
        <w:jc w:val="left"/>
      </w:pPr>
      <w:r>
        <w:t>Endereço:</w:t>
      </w:r>
      <w:r>
        <w:tab/>
        <w:t>RUA GENERAL OSÓRIO, 979 cidade: CANGUÇ</w:t>
      </w:r>
      <w:r>
        <w:t>U/RS</w:t>
      </w:r>
    </w:p>
    <w:p w:rsidR="00187EA3" w:rsidRDefault="009D28F8">
      <w:pPr>
        <w:tabs>
          <w:tab w:val="center" w:pos="4854"/>
          <w:tab w:val="center" w:pos="6756"/>
          <w:tab w:val="center" w:pos="7783"/>
        </w:tabs>
        <w:ind w:left="-7" w:firstLine="0"/>
        <w:jc w:val="left"/>
      </w:pPr>
      <w:r>
        <w:t>Número equipamento fabricante</w:t>
      </w:r>
      <w:r>
        <w:tab/>
        <w:t>Linha Destinação Capac.</w:t>
      </w:r>
      <w:r>
        <w:tab/>
        <w:t>Paradas</w:t>
      </w:r>
      <w:r>
        <w:tab/>
        <w:t>V e l o c .</w:t>
      </w:r>
    </w:p>
    <w:p w:rsidR="00187EA3" w:rsidRDefault="009D28F8">
      <w:pPr>
        <w:tabs>
          <w:tab w:val="center" w:pos="3706"/>
          <w:tab w:val="center" w:pos="4277"/>
          <w:tab w:val="center" w:pos="5764"/>
          <w:tab w:val="center" w:pos="6611"/>
          <w:tab w:val="center" w:pos="7700"/>
        </w:tabs>
        <w:spacing w:after="261"/>
        <w:ind w:left="-7" w:firstLine="0"/>
        <w:jc w:val="left"/>
      </w:pPr>
      <w:r>
        <w:t>0104971 Plataforma Thyssenkrupp</w:t>
      </w:r>
      <w:r>
        <w:tab/>
        <w:t>-</w:t>
      </w:r>
      <w:r>
        <w:tab/>
        <w:t>Com</w:t>
      </w:r>
      <w:r>
        <w:tab/>
        <w:t>250 Kg</w:t>
      </w:r>
      <w:r>
        <w:tab/>
        <w:t>2</w:t>
      </w:r>
      <w:r>
        <w:tab/>
        <w:t>6(m/min)</w:t>
      </w:r>
    </w:p>
    <w:p w:rsidR="00187EA3" w:rsidRDefault="009D28F8">
      <w:pPr>
        <w:pStyle w:val="Heading1"/>
        <w:spacing w:after="139"/>
      </w:pPr>
      <w:r>
        <w:t>CLÁUSULA II – DO PREÇO, VIGÊNCIA E FORMA DE PAGAMENTO</w:t>
      </w:r>
    </w:p>
    <w:p w:rsidR="00187EA3" w:rsidRDefault="009D28F8">
      <w:pPr>
        <w:spacing w:after="250"/>
        <w:ind w:left="3" w:right="24"/>
      </w:pPr>
      <w:r>
        <w:rPr>
          <w:b/>
        </w:rPr>
        <w:t>VALOR TRIMESTAL</w:t>
      </w:r>
      <w:r>
        <w:t>: R$ 380,22 (trezentos e oitenta reais e vinte dois centavos) VIGÊNCIA: O período de vigência deste contrato é de (12) meses a contar de 1º de agosto de 2026. A renovação será automática por períodos iguais, desde que não haja manifestação contrária de qua</w:t>
      </w:r>
      <w:r>
        <w:t>lquer das partes, até o limite de 120 (cento e vinte) meses, conforme Art. 107 da Lei 14133/2021 e suas alterações posteriores.</w:t>
      </w:r>
    </w:p>
    <w:p w:rsidR="00187EA3" w:rsidRDefault="009D28F8">
      <w:pPr>
        <w:pStyle w:val="Heading1"/>
        <w:spacing w:after="117"/>
      </w:pPr>
      <w:r>
        <w:t>CLÁUSULA III – HORÁRIO DE ATENDIMENTO</w:t>
      </w:r>
    </w:p>
    <w:p w:rsidR="00187EA3" w:rsidRDefault="009D28F8">
      <w:pPr>
        <w:ind w:left="3"/>
      </w:pPr>
      <w:r>
        <w:t>MANUTENÇÃO PREVENTIVA: Dias úteis das 08h00min às 12h00/13h12min às 18h00min</w:t>
      </w:r>
    </w:p>
    <w:p w:rsidR="00187EA3" w:rsidRDefault="009D28F8">
      <w:pPr>
        <w:ind w:left="3" w:right="126"/>
      </w:pPr>
      <w:r>
        <w:t>CHAMADOS: Das</w:t>
      </w:r>
      <w:r>
        <w:t xml:space="preserve"> 08h00min às 22h00min</w:t>
      </w:r>
    </w:p>
    <w:p w:rsidR="00187EA3" w:rsidRDefault="009D28F8">
      <w:pPr>
        <w:ind w:left="3" w:right="126"/>
      </w:pPr>
      <w:r>
        <w:t>EMERGÊNCIA: 24 horas</w:t>
      </w:r>
    </w:p>
    <w:p w:rsidR="00187EA3" w:rsidRDefault="009D28F8">
      <w:pPr>
        <w:ind w:left="3" w:right="126"/>
      </w:pPr>
      <w:r>
        <w:t>CENTRAL DE ATENDIMENTO: 0800-7080499 FAX: (055)3225-1305</w:t>
      </w:r>
    </w:p>
    <w:p w:rsidR="00187EA3" w:rsidRDefault="009D28F8">
      <w:pPr>
        <w:spacing w:after="54" w:line="241" w:lineRule="auto"/>
        <w:ind w:left="3" w:right="2253" w:firstLine="3360"/>
        <w:jc w:val="left"/>
      </w:pPr>
      <w:r>
        <w:t xml:space="preserve">(53) 32275461 - 51 99779006 </w:t>
      </w:r>
      <w:r>
        <w:rPr>
          <w:u w:val="single" w:color="000000"/>
        </w:rPr>
        <w:t>Benefícios TK Elevadores S.A.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Opção de pagamento antecipado com bônus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Segura de Responsabilidade Civil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Garantia de 1 (um) ano pa</w:t>
      </w:r>
      <w:r>
        <w:t>ra peças e serviços.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Engenheiro Responsável Técnico perante CREA.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Supervisor técnico exclusivo por região.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Consultor de Serviços por Região.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Equipe técnica qualificada.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Central de Atendimento ao Cliente Regional.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SIC: Sistema de informação ao Cliente, loca</w:t>
      </w:r>
      <w:r>
        <w:t xml:space="preserve">lizado na fábrica. (Tel: 0800.7070499) 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t>Manutenção Preventiva Programada.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Cumprimento total das obrigações exigidas pela legislação trabalhista.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Estoque para reposição de Peças.</w:t>
      </w:r>
    </w:p>
    <w:p w:rsidR="00187EA3" w:rsidRDefault="009D28F8">
      <w:pPr>
        <w:numPr>
          <w:ilvl w:val="0"/>
          <w:numId w:val="1"/>
        </w:numPr>
        <w:spacing w:after="28"/>
        <w:ind w:right="126" w:hanging="140"/>
      </w:pPr>
      <w:r>
        <w:lastRenderedPageBreak/>
        <w:t>Central de Serviços Regionalizada para atendimento técnico e comercial.</w:t>
      </w:r>
    </w:p>
    <w:p w:rsidR="00187EA3" w:rsidRDefault="009D28F8">
      <w:pPr>
        <w:numPr>
          <w:ilvl w:val="0"/>
          <w:numId w:val="1"/>
        </w:numPr>
        <w:ind w:right="126" w:hanging="140"/>
      </w:pPr>
      <w:r>
        <w:t>Suporte da Engenharia de produto e Engenharia de campo da Fábrica.</w:t>
      </w:r>
    </w:p>
    <w:p w:rsidR="00187EA3" w:rsidRDefault="009D28F8">
      <w:pPr>
        <w:pStyle w:val="Heading1"/>
        <w:spacing w:after="229"/>
        <w:ind w:left="419"/>
      </w:pPr>
      <w:r>
        <w:t>CLÁUSULA IV – DAS OBRIGAÇÕES DAASSISTÊNCIA TÉCNICA TK ELEVADORES</w:t>
      </w:r>
    </w:p>
    <w:p w:rsidR="00187EA3" w:rsidRDefault="009D28F8">
      <w:pPr>
        <w:ind w:left="434" w:right="126"/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t>Realizar a manutenção preventiva periódica conforme abaixo no(s) equipamento(s) da cláusula II e horária de atendimento e</w:t>
      </w:r>
      <w:r>
        <w:t>stabelecido na cláusula IV.</w:t>
      </w:r>
    </w:p>
    <w:p w:rsidR="00187EA3" w:rsidRDefault="009D28F8">
      <w:pPr>
        <w:spacing w:after="37"/>
        <w:ind w:left="434" w:right="126"/>
      </w:pPr>
      <w:r>
        <w:t>A – PLATAFORMA VERTICAL; Efetuar a limpeza, a regulagem, o ajuste e a lubrificação do equipamento e o teste do instrumental elétrico e eletrônico, para segurança do uso normal das peças vitais, tais como: máquina de tração, coro</w:t>
      </w:r>
      <w:r>
        <w:t>a sem fim, conjunto parafuso/porca, porca de segurança, polia de tração e desvio, freio, motor de tração, regulador de velocidade, corrente pinhão, chaves e fusíveis (exceto do quadro de força) na casa de máquinas, quadro de comando, conexões, relés e chav</w:t>
      </w:r>
      <w:r>
        <w:t>es, iluminação, botoeiras e sinalização, dispositivos de segurança, corrediças, aparelho de segurança, chave de indução, placas ou emissores, receptores, guias e braquetes, contrapeso, limites de curso, cabos de tração e regulador, fechos hidráulicos e ele</w:t>
      </w:r>
      <w:r>
        <w:t>tromecânicos, portais, carrinhos, nivelamentos, pavimentos, polia do regulador de velocidade, bomba hidráulica, bloco de válvula, vedações do sistema hidráulico, mangueiras e tubulações hidráulicas.</w:t>
      </w:r>
    </w:p>
    <w:p w:rsidR="00187EA3" w:rsidRDefault="009D28F8">
      <w:pPr>
        <w:ind w:left="434" w:right="126"/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r>
        <w:t>Substituição ou conserto a seu crédito de todos os com</w:t>
      </w:r>
      <w:r>
        <w:t xml:space="preserve">ponentes indispensáveis ao uso normal do(s) equipamento(s) exceto os constantes na cláusula VII, correndo as despesa respectivas, bem como mão-de-obra especializada a cargo da CONTRATADA. </w:t>
      </w:r>
      <w:r>
        <w:rPr>
          <w:rFonts w:ascii="Times New Roman" w:eastAsia="Times New Roman" w:hAnsi="Times New Roman" w:cs="Times New Roman"/>
          <w:sz w:val="24"/>
        </w:rPr>
        <w:t xml:space="preserve">3) </w:t>
      </w:r>
      <w:r>
        <w:t>Pronto atendimento aos chamados da CONTRATANTE, observando o horá</w:t>
      </w:r>
      <w:r>
        <w:t>rio estabelecido pela CONTRATADA para o funcionamento dos plantões. O atendimento de chamados fora do horário normal de trabalho da CONTRATADA só será feito em caso de emergência. Na hipótese de que a normalização do funcionamento venha requererr dispêndio</w:t>
      </w:r>
      <w:r>
        <w:t xml:space="preserve"> de mão-de-obra em maior quantidade que a razoável para um SERVIÇO DE EMERGÊNCIA, ou que venha a ser necessária a utilização de materiais não existentes normalmente no ESTOQUE DE EMERGÊNCIA, tal normalização só ocorrerá no primeiro dia útil subsequente, du</w:t>
      </w:r>
      <w:r>
        <w:t>rante o horário normal da CONTRATADA.</w:t>
      </w:r>
    </w:p>
    <w:p w:rsidR="00187EA3" w:rsidRDefault="009D28F8">
      <w:pPr>
        <w:ind w:left="434" w:right="126"/>
      </w:pPr>
      <w:r>
        <w:t>Entende-se como EMERGÊNCIA para ELEVADOR E HOME LIFT, os casos que houver usuário(s) preso(s) na cabina para ESCADA E ESTEIRA ROLANTE, casos em que houver usuário(s) preso(s) em qualquer uma de suas partes, ou ainda, p</w:t>
      </w:r>
      <w:r>
        <w:t>ara qualquer acidente que venha ocorrer em um destes equipamentos.</w:t>
      </w:r>
    </w:p>
    <w:p w:rsidR="00187EA3" w:rsidRDefault="009D28F8">
      <w:pPr>
        <w:ind w:left="434" w:right="126"/>
      </w:pPr>
      <w:r>
        <w:t>A retirada de usuário(s) preso(s) nos equipamentos acima mencionados, somente poderá ser realizada pela CONTRATADA ou pelo CORPO DE BOMBEIROS.</w:t>
      </w:r>
    </w:p>
    <w:p w:rsidR="00187EA3" w:rsidRDefault="009D28F8">
      <w:pPr>
        <w:spacing w:after="330"/>
        <w:ind w:left="434" w:right="126"/>
      </w:pPr>
      <w:r>
        <w:t>Entende-se como CHAMADOS toda solicitação de m</w:t>
      </w:r>
      <w:r>
        <w:t>anutenção corretiva.</w:t>
      </w:r>
    </w:p>
    <w:p w:rsidR="00187EA3" w:rsidRDefault="009D28F8">
      <w:pPr>
        <w:spacing w:after="228" w:line="259" w:lineRule="auto"/>
        <w:ind w:left="419"/>
        <w:jc w:val="left"/>
      </w:pPr>
      <w:r>
        <w:rPr>
          <w:b/>
          <w:u w:val="single" w:color="000000"/>
        </w:rPr>
        <w:t>CLÁUSULA V – DAS OBRIGAÇÕES DA CONTRATANTE:</w:t>
      </w:r>
    </w:p>
    <w:p w:rsidR="00187EA3" w:rsidRDefault="009D28F8">
      <w:pPr>
        <w:numPr>
          <w:ilvl w:val="0"/>
          <w:numId w:val="2"/>
        </w:numPr>
        <w:spacing w:after="32"/>
        <w:ind w:right="126" w:hanging="360"/>
      </w:pPr>
      <w:r>
        <w:t>Permitir acesso dos técnicos da CONTRATADA aos equipamentos (s) colaborando para a tomada de medidas necessárias a prestação dos serviços, exigindo sempre a carteira de identificação funcional.</w:t>
      </w:r>
    </w:p>
    <w:p w:rsidR="00187EA3" w:rsidRDefault="009D28F8">
      <w:pPr>
        <w:numPr>
          <w:ilvl w:val="0"/>
          <w:numId w:val="2"/>
        </w:numPr>
        <w:spacing w:after="40"/>
        <w:ind w:right="126" w:hanging="360"/>
      </w:pPr>
      <w:r>
        <w:t xml:space="preserve">Não permitir que terceiros tenham acesso à casa de máquinas e </w:t>
      </w:r>
      <w:r>
        <w:t>demais instalações do (s) equipamento (s).</w:t>
      </w:r>
    </w:p>
    <w:p w:rsidR="00187EA3" w:rsidRDefault="009D28F8">
      <w:pPr>
        <w:numPr>
          <w:ilvl w:val="0"/>
          <w:numId w:val="2"/>
        </w:numPr>
        <w:spacing w:after="51"/>
        <w:ind w:right="126" w:hanging="360"/>
      </w:pPr>
      <w:r>
        <w:t>Não permitir depósito de materiais alheios aos equipamentos na casa de máquinas e poços, conservando e escada ou vias de acesso livres.</w:t>
      </w:r>
    </w:p>
    <w:p w:rsidR="00187EA3" w:rsidRDefault="009D28F8">
      <w:pPr>
        <w:numPr>
          <w:ilvl w:val="0"/>
          <w:numId w:val="2"/>
        </w:numPr>
        <w:ind w:right="126" w:hanging="360"/>
      </w:pPr>
      <w:r>
        <w:t>Não</w:t>
      </w:r>
      <w:r>
        <w:tab/>
        <w:t>trocar</w:t>
      </w:r>
      <w:r>
        <w:tab/>
        <w:t>ou</w:t>
      </w:r>
      <w:r>
        <w:tab/>
        <w:t>alterar</w:t>
      </w:r>
      <w:r>
        <w:tab/>
        <w:t>peças</w:t>
      </w:r>
      <w:r>
        <w:tab/>
        <w:t>do(s)</w:t>
      </w:r>
      <w:r>
        <w:tab/>
        <w:t>equipamento(s),</w:t>
      </w:r>
      <w:r>
        <w:tab/>
        <w:t>sem</w:t>
      </w:r>
      <w:r>
        <w:tab/>
        <w:t>autorização</w:t>
      </w:r>
      <w:r>
        <w:tab/>
        <w:t>expressa</w:t>
      </w:r>
      <w:r>
        <w:tab/>
        <w:t>da CONTRATADA.</w:t>
      </w:r>
    </w:p>
    <w:p w:rsidR="00187EA3" w:rsidRDefault="009D28F8">
      <w:pPr>
        <w:numPr>
          <w:ilvl w:val="0"/>
          <w:numId w:val="2"/>
        </w:numPr>
        <w:spacing w:after="39"/>
        <w:ind w:right="126" w:hanging="360"/>
      </w:pPr>
      <w:r>
        <w:t>Visar a ficha de serviços, por ocasião das visitas dos técnicos da CONTRATADA, para a prestação de serviços neste instrumento.</w:t>
      </w:r>
    </w:p>
    <w:p w:rsidR="00187EA3" w:rsidRDefault="009D28F8">
      <w:pPr>
        <w:numPr>
          <w:ilvl w:val="0"/>
          <w:numId w:val="2"/>
        </w:numPr>
        <w:spacing w:after="39"/>
        <w:ind w:right="126" w:hanging="360"/>
      </w:pPr>
      <w:r>
        <w:t>Autorizar a colocação de peças ou acess</w:t>
      </w:r>
      <w:r>
        <w:t>órios exigidos por lei ou determinações de autoridades competentes.</w:t>
      </w:r>
    </w:p>
    <w:p w:rsidR="00187EA3" w:rsidRDefault="009D28F8">
      <w:pPr>
        <w:numPr>
          <w:ilvl w:val="0"/>
          <w:numId w:val="2"/>
        </w:numPr>
        <w:spacing w:after="39"/>
        <w:ind w:right="126" w:hanging="360"/>
      </w:pPr>
      <w:r>
        <w:t xml:space="preserve">Autorizar a execução dos serviços ou substituição de peças extras que a CONTRATADA entender necessárias ao eficiente funcionamento do(s) equipamento(s) ou, não fazendo, assumir a integral </w:t>
      </w:r>
      <w:r>
        <w:t>responsabilidade que desse ato resultar, facultando a CONTRATADA a rescisão, ou não, do contrato.</w:t>
      </w:r>
    </w:p>
    <w:p w:rsidR="00187EA3" w:rsidRDefault="009D28F8">
      <w:pPr>
        <w:numPr>
          <w:ilvl w:val="0"/>
          <w:numId w:val="2"/>
        </w:numPr>
        <w:spacing w:after="49"/>
        <w:ind w:right="126" w:hanging="360"/>
      </w:pPr>
      <w:r>
        <w:t>Só permitir a retirada de qualquer componente(s) equipamento(s) mediante recibo impresso próprio da CONTRATADA, salvo se houver substituição no ato do serviço</w:t>
      </w:r>
      <w:r>
        <w:t>.</w:t>
      </w:r>
    </w:p>
    <w:p w:rsidR="00187EA3" w:rsidRDefault="009D28F8">
      <w:pPr>
        <w:numPr>
          <w:ilvl w:val="0"/>
          <w:numId w:val="2"/>
        </w:numPr>
        <w:ind w:right="126" w:hanging="360"/>
      </w:pPr>
      <w:r>
        <w:t>Cumprir rigorosamente a orientação técnica da CONTRATADA.</w:t>
      </w:r>
    </w:p>
    <w:p w:rsidR="00187EA3" w:rsidRDefault="009D28F8">
      <w:pPr>
        <w:numPr>
          <w:ilvl w:val="0"/>
          <w:numId w:val="2"/>
        </w:numPr>
        <w:spacing w:after="36"/>
        <w:ind w:right="126" w:hanging="360"/>
      </w:pPr>
      <w:r>
        <w:t>Executar os serviços necessários para segurança e eficiente funcionamento do(s) equipamento(s) alheio a especialidade da CONTRATADA.</w:t>
      </w:r>
    </w:p>
    <w:p w:rsidR="00187EA3" w:rsidRDefault="009D28F8">
      <w:pPr>
        <w:numPr>
          <w:ilvl w:val="0"/>
          <w:numId w:val="2"/>
        </w:numPr>
        <w:spacing w:after="37"/>
        <w:ind w:right="126" w:hanging="360"/>
      </w:pPr>
      <w:r>
        <w:t>Autorizar alterações de características originais ou a substitu</w:t>
      </w:r>
      <w:r>
        <w:t>ição de acessórios por outros de tecnologia mais recente, assim como eventuais alterações impostas por novas disposições legais ou empresas seguradores.</w:t>
      </w:r>
    </w:p>
    <w:p w:rsidR="00187EA3" w:rsidRDefault="009D28F8">
      <w:pPr>
        <w:numPr>
          <w:ilvl w:val="0"/>
          <w:numId w:val="2"/>
        </w:numPr>
        <w:spacing w:after="34"/>
        <w:ind w:right="126" w:hanging="360"/>
      </w:pPr>
      <w:r>
        <w:t>Realizar a manutenção das instalações da casa de máquinas, caixa e poço, mesmo queeles tenham sido exec</w:t>
      </w:r>
      <w:r>
        <w:t>utadas especialmente para a instalação dos equipamentos, como circuitos para alimentação do quadro de força da casa de máquinas e respectivos fusíveis de proteção desse quadro, dispositivos de para-raios, janelas, iluminação, sistema de ventilação ou exaus</w:t>
      </w:r>
      <w:r>
        <w:t>tão forçada, extintor de incêndio, alvenaria e pinturas.</w:t>
      </w:r>
    </w:p>
    <w:p w:rsidR="00187EA3" w:rsidRDefault="009D28F8">
      <w:pPr>
        <w:numPr>
          <w:ilvl w:val="0"/>
          <w:numId w:val="2"/>
        </w:numPr>
        <w:spacing w:after="220"/>
        <w:ind w:right="126" w:hanging="360"/>
      </w:pPr>
      <w:r>
        <w:t>Aprovar a modernização e/ou atualização tecnológica, estando o(s) equipamento (o)instalado(s) há mais de 15 anos, a fim de garantir o seu funcionamento adequado, bem como a segurança dos usuários. Ca</w:t>
      </w:r>
      <w:r>
        <w:t>so o CONTRATANTE não aprove a modernização, poderá a CONTRATADA rescindir o contrato, sem o pagamento da multa prevista na cláusula X item 1.</w:t>
      </w:r>
    </w:p>
    <w:p w:rsidR="00187EA3" w:rsidRDefault="009D28F8">
      <w:pPr>
        <w:pStyle w:val="Heading1"/>
        <w:ind w:left="419"/>
      </w:pPr>
      <w:r>
        <w:t>CLÁUSULAVI – DOS ORÇAMENTOS</w:t>
      </w:r>
    </w:p>
    <w:p w:rsidR="00187EA3" w:rsidRDefault="009D28F8">
      <w:pPr>
        <w:spacing w:after="219"/>
        <w:ind w:left="434" w:right="126"/>
      </w:pPr>
      <w:r>
        <w:t>Não se incluem no preço trimestral estipulado, tão só a substituição de peças e acessó</w:t>
      </w:r>
      <w:r>
        <w:t>rios que for determinada por lei ou ato de autoridade administrativa, supervenientes e assinatura deste contrato, bem como baterias para fontes de emergência, piso de cabina, porta de cabina e de pavimentos, porta pantográfica, corrimão, corrente de tração</w:t>
      </w:r>
      <w:r>
        <w:t xml:space="preserve"> e pentes (escada rolante/esteira), óleo de maquina de tração, óleo de pistão amortecedor de cabina e contrapeso e óleo das unidades hidráulicas dos elevadores hidráulicos, peças danificadas por mau uso, atos de vandalismo, vazamentos ou por atos diretos o</w:t>
      </w:r>
      <w:r>
        <w:t>u indiretos de terceiros e componentes elétricos danificados em função de raios ou por deficiência de aterramento elétrico e por deficiência no fornecimento de energia elétrica em variação de tensão de rede superior a mais ou a menos 10% nominal. Neste cas</w:t>
      </w:r>
      <w:r>
        <w:t>o as condições serão estabelecidas via apresentação, negociação e assinatura, pelas partes, de orçamento próprio que discriminará o valor relativo a mão-de-obra e peças/ matérias a serem empregados na execução dos serviços aprovados expressamente pela CONT</w:t>
      </w:r>
      <w:r>
        <w:t>RATANTE.</w:t>
      </w:r>
    </w:p>
    <w:p w:rsidR="00187EA3" w:rsidRDefault="009D28F8">
      <w:pPr>
        <w:pStyle w:val="Heading1"/>
        <w:spacing w:after="99"/>
        <w:ind w:left="419"/>
      </w:pPr>
      <w:r>
        <w:t>CLÁUSULA VII – DAS RESPONSABILIDADES</w:t>
      </w:r>
    </w:p>
    <w:p w:rsidR="00187EA3" w:rsidRDefault="009D28F8">
      <w:pPr>
        <w:numPr>
          <w:ilvl w:val="0"/>
          <w:numId w:val="3"/>
        </w:numPr>
        <w:ind w:right="126"/>
      </w:pPr>
      <w:r>
        <w:t>No caso de infração a qualquer cláusula estipulada, sujeitar-se-á a parte infratora ao pagamento de uma multa equivalente a 3 (três) mensalidades do preço, segundo o valor vigente na data do evento, sem prejuízo de a parte lesada das por rescindido o contr</w:t>
      </w:r>
      <w:r>
        <w:t>ato.</w:t>
      </w:r>
    </w:p>
    <w:p w:rsidR="00187EA3" w:rsidRDefault="009D28F8">
      <w:pPr>
        <w:numPr>
          <w:ilvl w:val="0"/>
          <w:numId w:val="3"/>
        </w:numPr>
        <w:ind w:right="126"/>
      </w:pPr>
      <w:r>
        <w:t>Não caberá a CONTRATADA responsabilidade por qualquer acidente pessoal ou patrimonial ocorrido a terceiros, exceto os que possam ser atribuídos direta e exclusivamente a atos ou omissões de seus prepostos, não podendo, assim, o presente instrumento af</w:t>
      </w:r>
      <w:r>
        <w:t>etar a responsabilidade que assiste a CONTRATANTE por acidentes que possam ocorrer a terceiros quando estiverem sendo transportados ou se encontrarem dentro ou próximos do(s) equipamentos.</w:t>
      </w:r>
    </w:p>
    <w:p w:rsidR="00187EA3" w:rsidRDefault="009D28F8">
      <w:pPr>
        <w:numPr>
          <w:ilvl w:val="0"/>
          <w:numId w:val="3"/>
        </w:numPr>
        <w:ind w:right="126"/>
      </w:pPr>
      <w:r>
        <w:t>A CONTRATADA não será responsável por qualquer perda, dano ou atras</w:t>
      </w:r>
      <w:r>
        <w:t>o resultante de caso fortuito, força maior ou atos de vandalismo.</w:t>
      </w:r>
    </w:p>
    <w:p w:rsidR="00187EA3" w:rsidRDefault="009D28F8">
      <w:pPr>
        <w:numPr>
          <w:ilvl w:val="0"/>
          <w:numId w:val="3"/>
        </w:numPr>
        <w:ind w:right="126"/>
      </w:pPr>
      <w:r>
        <w:t>Será responsabilidade da CONTRATANTE o pagamento de eventual ART decorrente da manutenção do equipamento.</w:t>
      </w:r>
    </w:p>
    <w:p w:rsidR="00187EA3" w:rsidRDefault="009D28F8">
      <w:pPr>
        <w:numPr>
          <w:ilvl w:val="0"/>
          <w:numId w:val="3"/>
        </w:numPr>
        <w:ind w:right="126"/>
      </w:pPr>
      <w:r>
        <w:t>As obrigações ora convencionadas serão efetivadas independentemente de aviso, notifi</w:t>
      </w:r>
      <w:r>
        <w:t>cação ou interpelação judicial ou extrajudicial, obrigando-se as partes a bem e fielmente cumpri-las sendo extensivas a seus herdeiros ou sucessores.</w:t>
      </w:r>
    </w:p>
    <w:p w:rsidR="00187EA3" w:rsidRDefault="009D28F8">
      <w:pPr>
        <w:numPr>
          <w:ilvl w:val="0"/>
          <w:numId w:val="3"/>
        </w:numPr>
        <w:ind w:right="126"/>
      </w:pPr>
      <w:r>
        <w:t xml:space="preserve">Em caso de atraso nos pagamentos dos valores estipulados, a CONTRATADA se reserva no direito de suspender </w:t>
      </w:r>
      <w:r>
        <w:t xml:space="preserve">a manutenção preventiva, bem como o atendimento aos chamados da CONTRATANTE, até a regularização dos pagamentos, isentando-se de qualquer responsabilidade que possa advir da falta de manutenção dos equipamentos. </w:t>
      </w:r>
      <w:r>
        <w:rPr>
          <w:rFonts w:ascii="Times New Roman" w:eastAsia="Times New Roman" w:hAnsi="Times New Roman" w:cs="Times New Roman"/>
          <w:sz w:val="20"/>
        </w:rPr>
        <w:t xml:space="preserve">7) </w:t>
      </w:r>
      <w:r>
        <w:t>É responsabilidade da CONTRATANTE adquiri</w:t>
      </w:r>
      <w:r>
        <w:t>r elementos decorativos de cabina, marcos de portas, lâmpadas, Led’s, start, reatores, ventiladores ou exaustores.</w:t>
      </w:r>
    </w:p>
    <w:p w:rsidR="00187EA3" w:rsidRDefault="009D28F8">
      <w:pPr>
        <w:spacing w:after="222"/>
        <w:ind w:left="434" w:right="126"/>
      </w:pPr>
      <w:r>
        <w:rPr>
          <w:rFonts w:ascii="Times New Roman" w:eastAsia="Times New Roman" w:hAnsi="Times New Roman" w:cs="Times New Roman"/>
          <w:sz w:val="20"/>
        </w:rPr>
        <w:t xml:space="preserve">8) </w:t>
      </w:r>
      <w:r>
        <w:t>A CONTRATANTE deverá apresentar as guias quitadas dos tributos retidos, de acordo a legislação vigente, quando solicitada pela CONTRATADA,</w:t>
      </w:r>
      <w:r>
        <w:t xml:space="preserve"> que deverá ser ressarcida caso tenha algum prejuízo decorrente de falta de apresentação das referidas guias.</w:t>
      </w:r>
    </w:p>
    <w:p w:rsidR="00187EA3" w:rsidRDefault="009D28F8">
      <w:pPr>
        <w:pStyle w:val="Heading1"/>
        <w:spacing w:after="0"/>
        <w:ind w:left="419"/>
      </w:pPr>
      <w:r>
        <w:t>CLÁUSULA VIII – DO REAJUSTAMENTO E DA MULTA</w:t>
      </w:r>
    </w:p>
    <w:p w:rsidR="00187EA3" w:rsidRDefault="009D28F8">
      <w:pPr>
        <w:spacing w:after="245"/>
        <w:ind w:left="434" w:right="126"/>
      </w:pPr>
      <w:r>
        <w:t>O presente instrumento contratual terá vigência de 12 (doze) meses, iniciando na data de assinatura do</w:t>
      </w:r>
      <w:r>
        <w:t xml:space="preserve"> contrato, podendo ser prorrogado conforme Art. 107 da Lei 14.133/2021. O valor contratual será reajustado anualmente, por acordo entre as partes, com base na variação acumulada do Índice Nacional de Preços ao Consumidor Amplo - IPCA, divulgado pelo Instit</w:t>
      </w:r>
      <w:r>
        <w:t>uto Brasileiro de Geografia e Estatística - IBGE, apurado no período de 12 (doze) meses imediatamente anteriores ao mês do reajuste, nos termos do art. 92 da Lei nº 14.133/2021, observada a manutenção do equilíbrio econômico-financeiro do contrato.</w:t>
      </w:r>
    </w:p>
    <w:p w:rsidR="00187EA3" w:rsidRDefault="009D28F8">
      <w:pPr>
        <w:pStyle w:val="Heading1"/>
        <w:spacing w:after="230"/>
        <w:ind w:left="419"/>
      </w:pPr>
      <w:r>
        <w:t>CLÁUSUL</w:t>
      </w:r>
      <w:r>
        <w:t>A IX – DA REVISÃO</w:t>
      </w:r>
    </w:p>
    <w:p w:rsidR="00187EA3" w:rsidRDefault="009D28F8">
      <w:pPr>
        <w:spacing w:after="252"/>
        <w:ind w:left="434" w:right="126"/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r>
        <w:t>Sendo o preço dos serviços propriamente de conservação, estabelecido em razão de diversos fatores variáveis, inclusive de custo mínimo, volume de trafego e idade do equipamento, poderá o mesmo, no decorrer do contrato, ser realizado pe</w:t>
      </w:r>
      <w:r>
        <w:t>la CONTRATADA, independentemente do reajuste contratual acima previsto. A revisão do preço somente será efetuada se previamente discutida e acordada formalmente pela CONTRATANTE. Caso a CONTRATANTE não aceite a revisão do preço, poderá a CONTRATADA rescind</w:t>
      </w:r>
      <w:r>
        <w:t>ir o contrato, manifestando tal intenção por escrito, com antecedência mínima de 30(trinta) dias, sem o pagamento da multa prevista na cláusula XI, item 1.</w:t>
      </w:r>
    </w:p>
    <w:p w:rsidR="00187EA3" w:rsidRDefault="009D28F8">
      <w:pPr>
        <w:pStyle w:val="Heading1"/>
        <w:spacing w:after="230"/>
        <w:ind w:left="419"/>
      </w:pPr>
      <w:r>
        <w:t>CLÁUSULA X – CONDIÇÕES GERAIS</w:t>
      </w:r>
    </w:p>
    <w:p w:rsidR="00187EA3" w:rsidRDefault="009D28F8">
      <w:pPr>
        <w:numPr>
          <w:ilvl w:val="0"/>
          <w:numId w:val="4"/>
        </w:numPr>
        <w:spacing w:after="40"/>
        <w:ind w:right="126" w:hanging="360"/>
      </w:pPr>
      <w:r>
        <w:t>O prazo contratual constante na cláusula III será prorrogado por igual</w:t>
      </w:r>
      <w:r>
        <w:t xml:space="preserve"> período, caso uma das partes não manifestar sua intenção ao contrário, por escrito, com antecedência mínima de 30(trinta) dias. No caso de denúncia do contrato antes do vencimento do prazo, pagará a parte denunciante em favor da outra o valor equivalente </w:t>
      </w:r>
      <w:r>
        <w:t>a 3 mensalidades do preço.</w:t>
      </w:r>
    </w:p>
    <w:p w:rsidR="00187EA3" w:rsidRDefault="009D28F8">
      <w:pPr>
        <w:numPr>
          <w:ilvl w:val="0"/>
          <w:numId w:val="4"/>
        </w:numPr>
        <w:spacing w:after="39"/>
        <w:ind w:right="126" w:hanging="360"/>
      </w:pPr>
      <w:r>
        <w:t>No caso de extinção ou substituição , por superveniência de Medida Governamental ou outra razão, do ESPECIAL – Composição de índices – Calculo manual, utilizar-se imediatamente o índice substituto para efeito dos cálculos de reaj</w:t>
      </w:r>
      <w:r>
        <w:t>uste nas cláusulas do presente contrato utilizam o referido índice.</w:t>
      </w:r>
    </w:p>
    <w:p w:rsidR="00187EA3" w:rsidRDefault="009D28F8">
      <w:pPr>
        <w:numPr>
          <w:ilvl w:val="0"/>
          <w:numId w:val="4"/>
        </w:numPr>
        <w:spacing w:after="36"/>
        <w:ind w:right="126" w:hanging="360"/>
      </w:pPr>
      <w:r>
        <w:t>As peças substituídas deverão ser entregues á CONTRATADA para inutilização, destruição ou sucateamento, com intuito de evitar a reutilização indevida destas em outros equipamentos, o que p</w:t>
      </w:r>
      <w:r>
        <w:t>oderia colocar em risco a segurança dos usuários e seu patrimônio e do meio ambiente.</w:t>
      </w:r>
    </w:p>
    <w:p w:rsidR="00187EA3" w:rsidRDefault="009D28F8">
      <w:pPr>
        <w:numPr>
          <w:ilvl w:val="0"/>
          <w:numId w:val="4"/>
        </w:numPr>
        <w:spacing w:after="39"/>
        <w:ind w:right="126" w:hanging="360"/>
      </w:pPr>
      <w:r>
        <w:t>No caso da CONTRATANTE não receber o documento bancário de cobrança até 5(cinco) dias antes do prazo de vencimento da prestação, a CONTRANTE deverá retirar o documento no</w:t>
      </w:r>
      <w:r>
        <w:t xml:space="preserve"> site da CONTRATADA ou entrar em contato com esta, através do departamento de contas a receber, por envio de novo documento, e providenciar o pagamento.</w:t>
      </w:r>
    </w:p>
    <w:p w:rsidR="00187EA3" w:rsidRDefault="009D28F8">
      <w:pPr>
        <w:numPr>
          <w:ilvl w:val="0"/>
          <w:numId w:val="4"/>
        </w:numPr>
        <w:spacing w:after="39"/>
        <w:ind w:right="126" w:hanging="360"/>
      </w:pPr>
      <w:r>
        <w:t>A contratante autoriza o uso de imagens do empreendimento referido neste contato, sem ônus, para divulg</w:t>
      </w:r>
      <w:r>
        <w:t>ação dor parte da CONTRATADA em catálogos, informativos, anúncios, web site e outros meios de divulgação.</w:t>
      </w:r>
    </w:p>
    <w:p w:rsidR="00187EA3" w:rsidRDefault="009D28F8">
      <w:pPr>
        <w:numPr>
          <w:ilvl w:val="0"/>
          <w:numId w:val="4"/>
        </w:numPr>
        <w:spacing w:after="245"/>
        <w:ind w:right="126" w:hanging="360"/>
      </w:pPr>
      <w:r>
        <w:t>As obrigações previstas neste contrato, especialmente as relativas á reposição de peças e componentes, ficam vinculadas á existência de fabricação e sua disponibilidade do mercado de forma que ser determinada peça ou componente restar indisponível, tal fat</w:t>
      </w:r>
      <w:r>
        <w:t>o isenta a CONTRATADA da obrigação de substituição, podendo as partes optarem por firmar orçamento de Modernização que venha a suprir esta necessidade.</w:t>
      </w:r>
    </w:p>
    <w:p w:rsidR="00187EA3" w:rsidRDefault="009D28F8">
      <w:pPr>
        <w:pStyle w:val="Heading1"/>
        <w:ind w:left="419"/>
      </w:pPr>
      <w:r>
        <w:t>CLÁUSULA XI – DO SEGURO</w:t>
      </w:r>
    </w:p>
    <w:p w:rsidR="00187EA3" w:rsidRDefault="009D28F8">
      <w:pPr>
        <w:spacing w:after="222"/>
        <w:ind w:left="723" w:right="126" w:hanging="360"/>
      </w:pPr>
      <w:r>
        <w:rPr>
          <w:sz w:val="20"/>
        </w:rPr>
        <w:t xml:space="preserve">1) </w:t>
      </w:r>
      <w:r>
        <w:t xml:space="preserve">A CONTRATADA, sem ônus adicional a CONTRANTE, inclui no presente contrato um </w:t>
      </w:r>
      <w:r>
        <w:t>seguro de Responsabilidade Civil contra acidentes ou danos pessoais a terceiros, desde que tais eventos possam ser atribuídos direta e exclusivamente a atos e/ou omissões de seus prepostos.</w:t>
      </w:r>
    </w:p>
    <w:p w:rsidR="00187EA3" w:rsidRDefault="009D28F8">
      <w:pPr>
        <w:pStyle w:val="Heading1"/>
        <w:ind w:left="419"/>
      </w:pPr>
      <w:r>
        <w:t>CLÁUSULA XII – DAS OPÇÕES DE PAGAMENTO</w:t>
      </w:r>
    </w:p>
    <w:p w:rsidR="00187EA3" w:rsidRDefault="009D28F8">
      <w:pPr>
        <w:spacing w:after="266"/>
        <w:ind w:left="373" w:right="126"/>
      </w:pPr>
      <w:r>
        <w:t>DATA DE PAGAMENTO: Até o di</w:t>
      </w:r>
      <w:r>
        <w:t>a 10 do mês subsequente:</w:t>
      </w:r>
    </w:p>
    <w:p w:rsidR="00187EA3" w:rsidRDefault="009D28F8">
      <w:pPr>
        <w:numPr>
          <w:ilvl w:val="0"/>
          <w:numId w:val="5"/>
        </w:numPr>
        <w:ind w:hanging="61"/>
      </w:pPr>
      <w:r>
        <w:t>[ ] Pagamento com bônus (Pague 12 meses antecipados e ganhe 50% de desconto novalor de uma mensalidade)</w:t>
      </w:r>
    </w:p>
    <w:p w:rsidR="00187EA3" w:rsidRDefault="009D28F8">
      <w:pPr>
        <w:numPr>
          <w:ilvl w:val="0"/>
          <w:numId w:val="5"/>
        </w:numPr>
        <w:ind w:hanging="61"/>
      </w:pPr>
      <w:r>
        <w:t>[ ] Pagamento com bônus (Pague 06 meses antecipados e ganhe 25% de desconto novalor de uma mensalidade)</w:t>
      </w:r>
    </w:p>
    <w:p w:rsidR="00187EA3" w:rsidRDefault="009D28F8">
      <w:pPr>
        <w:numPr>
          <w:ilvl w:val="0"/>
          <w:numId w:val="5"/>
        </w:numPr>
        <w:spacing w:line="480" w:lineRule="auto"/>
        <w:ind w:hanging="61"/>
      </w:pPr>
      <w:r>
        <w:t>[x] Pós pago sem bônus (Pagamento trimestral)</w:t>
      </w:r>
      <w:r>
        <w:rPr>
          <w:b/>
          <w:u w:val="single" w:color="000000"/>
        </w:rPr>
        <w:t>CLÁUSULA XIII – RUBRICA ORÇAMENTÁRIA</w:t>
      </w:r>
    </w:p>
    <w:p w:rsidR="00187EA3" w:rsidRDefault="009D28F8">
      <w:pPr>
        <w:spacing w:after="199"/>
        <w:ind w:left="434" w:right="126"/>
      </w:pPr>
      <w:r>
        <w:t>Conforme solicitado, informo existência de dotação orçamentária:</w:t>
      </w:r>
    </w:p>
    <w:p w:rsidR="00187EA3" w:rsidRDefault="009D28F8">
      <w:pPr>
        <w:spacing w:after="0" w:line="259" w:lineRule="auto"/>
        <w:ind w:left="419"/>
        <w:jc w:val="left"/>
      </w:pPr>
      <w:r>
        <w:rPr>
          <w:rFonts w:ascii="Segoe UI Symbol" w:eastAsia="Segoe UI Symbol" w:hAnsi="Segoe UI Symbol" w:cs="Segoe UI Symbol"/>
          <w:color w:val="333333"/>
        </w:rPr>
        <w:t xml:space="preserve">· </w:t>
      </w:r>
      <w:r>
        <w:rPr>
          <w:b/>
        </w:rPr>
        <w:t>Unidade Orçamentária:</w:t>
      </w:r>
    </w:p>
    <w:p w:rsidR="00187EA3" w:rsidRDefault="009D28F8">
      <w:pPr>
        <w:spacing w:after="206"/>
        <w:ind w:left="434" w:right="126"/>
      </w:pPr>
      <w:r>
        <w:t>01.01 - CÂMARA MUNICIPAL DE VEREADORES</w:t>
      </w:r>
    </w:p>
    <w:p w:rsidR="00187EA3" w:rsidRDefault="009D28F8">
      <w:pPr>
        <w:spacing w:after="0" w:line="259" w:lineRule="auto"/>
        <w:ind w:left="419"/>
        <w:jc w:val="left"/>
      </w:pPr>
      <w:r>
        <w:rPr>
          <w:rFonts w:ascii="Segoe UI Symbol" w:eastAsia="Segoe UI Symbol" w:hAnsi="Segoe UI Symbol" w:cs="Segoe UI Symbol"/>
          <w:color w:val="333333"/>
        </w:rPr>
        <w:t xml:space="preserve">· </w:t>
      </w:r>
      <w:r>
        <w:rPr>
          <w:b/>
        </w:rPr>
        <w:t>Projeto/Atividade:</w:t>
      </w:r>
    </w:p>
    <w:p w:rsidR="00187EA3" w:rsidRDefault="009D28F8">
      <w:pPr>
        <w:spacing w:after="206"/>
        <w:ind w:left="434" w:right="126"/>
      </w:pPr>
      <w:r>
        <w:t>2.001 – Manutenção das At</w:t>
      </w:r>
      <w:r>
        <w:t>ividades Legislativas</w:t>
      </w:r>
    </w:p>
    <w:p w:rsidR="00187EA3" w:rsidRDefault="009D28F8">
      <w:pPr>
        <w:spacing w:after="0" w:line="259" w:lineRule="auto"/>
        <w:ind w:left="419"/>
        <w:jc w:val="left"/>
      </w:pPr>
      <w:r>
        <w:rPr>
          <w:rFonts w:ascii="Segoe UI Symbol" w:eastAsia="Segoe UI Symbol" w:hAnsi="Segoe UI Symbol" w:cs="Segoe UI Symbol"/>
          <w:color w:val="333333"/>
        </w:rPr>
        <w:t xml:space="preserve">· </w:t>
      </w:r>
      <w:r>
        <w:rPr>
          <w:b/>
        </w:rPr>
        <w:t>Categoria Econômica</w:t>
      </w:r>
    </w:p>
    <w:p w:rsidR="00187EA3" w:rsidRDefault="009D28F8">
      <w:pPr>
        <w:spacing w:after="206"/>
        <w:ind w:left="434" w:right="126"/>
      </w:pPr>
      <w:r>
        <w:t>3 – Despesas Correntes</w:t>
      </w:r>
    </w:p>
    <w:p w:rsidR="00187EA3" w:rsidRDefault="009D28F8">
      <w:pPr>
        <w:spacing w:after="0" w:line="259" w:lineRule="auto"/>
        <w:ind w:left="419"/>
        <w:jc w:val="left"/>
      </w:pPr>
      <w:r>
        <w:rPr>
          <w:rFonts w:ascii="Segoe UI Symbol" w:eastAsia="Segoe UI Symbol" w:hAnsi="Segoe UI Symbol" w:cs="Segoe UI Symbol"/>
          <w:color w:val="333333"/>
        </w:rPr>
        <w:t xml:space="preserve">· </w:t>
      </w:r>
      <w:r>
        <w:rPr>
          <w:b/>
        </w:rPr>
        <w:t>Natureza da Despesa e saldo Disponível atual</w:t>
      </w:r>
    </w:p>
    <w:p w:rsidR="00187EA3" w:rsidRDefault="009D28F8">
      <w:pPr>
        <w:tabs>
          <w:tab w:val="center" w:pos="3180"/>
          <w:tab w:val="center" w:pos="7451"/>
        </w:tabs>
        <w:spacing w:after="164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3.3.90.39 – OUTROS SERVICOS DE TERCEIROS – PJ</w:t>
      </w:r>
      <w:r>
        <w:tab/>
        <w:t>R$ 501.061,36</w:t>
      </w:r>
    </w:p>
    <w:p w:rsidR="00187EA3" w:rsidRDefault="009D28F8">
      <w:pPr>
        <w:spacing w:after="166" w:line="259" w:lineRule="auto"/>
        <w:ind w:left="419"/>
        <w:jc w:val="left"/>
      </w:pPr>
      <w:r>
        <w:rPr>
          <w:b/>
        </w:rPr>
        <w:t>Rubrica (desdobramento da Natureza da Despesa)</w:t>
      </w:r>
    </w:p>
    <w:p w:rsidR="00187EA3" w:rsidRDefault="009D28F8">
      <w:pPr>
        <w:spacing w:after="164"/>
        <w:ind w:left="434" w:right="126"/>
      </w:pPr>
      <w:r>
        <w:t>3.3.90.39.17.00.00.00 – MANUT. E CONSERVAÇÃO DE MAQ E EQUIPAMENTOS</w:t>
      </w:r>
    </w:p>
    <w:p w:rsidR="00187EA3" w:rsidRDefault="009D28F8">
      <w:pPr>
        <w:spacing w:after="133"/>
        <w:ind w:left="1412" w:right="126"/>
      </w:pPr>
      <w:r>
        <w:t>Cód. Reduzido: 6109</w:t>
      </w:r>
    </w:p>
    <w:p w:rsidR="00187EA3" w:rsidRDefault="009D28F8">
      <w:pPr>
        <w:pStyle w:val="Heading1"/>
        <w:ind w:left="419"/>
      </w:pPr>
      <w:r>
        <w:t>CLÁUSULA XIV – DO FORO</w:t>
      </w:r>
    </w:p>
    <w:p w:rsidR="00187EA3" w:rsidRDefault="009D28F8">
      <w:pPr>
        <w:spacing w:after="218"/>
        <w:ind w:left="434" w:right="126"/>
      </w:pPr>
      <w:r>
        <w:rPr>
          <w:sz w:val="20"/>
        </w:rPr>
        <w:t>1)</w:t>
      </w:r>
      <w:r>
        <w:t>Fica eleito o foro de Canguçu/RS para conhecer as ações oriundas deste contrato.</w:t>
      </w:r>
    </w:p>
    <w:p w:rsidR="00187EA3" w:rsidRDefault="009D28F8">
      <w:pPr>
        <w:spacing w:after="474"/>
        <w:ind w:left="434"/>
      </w:pPr>
      <w:r>
        <w:t>E por estarem de perfeito acordo, assinam as partes deste instr</w:t>
      </w:r>
      <w:r>
        <w:t>umento impresso em 02(duas) vias de teor. na presença das testemunhas abaixo.</w:t>
      </w:r>
    </w:p>
    <w:p w:rsidR="00187EA3" w:rsidRDefault="009D28F8">
      <w:pPr>
        <w:spacing w:after="94" w:line="259" w:lineRule="auto"/>
        <w:ind w:left="0" w:right="29" w:firstLine="0"/>
        <w:jc w:val="center"/>
      </w:pPr>
      <w:r>
        <w:t>Canguçu/RS, 22 de julho de 2026.</w:t>
      </w:r>
    </w:p>
    <w:p w:rsidR="00187EA3" w:rsidRDefault="009D28F8">
      <w:pPr>
        <w:spacing w:after="161" w:line="259" w:lineRule="auto"/>
        <w:ind w:left="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676900" cy="6096"/>
                <wp:effectExtent l="0" t="0" r="0" b="0"/>
                <wp:docPr id="7768" name="Group 7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6096"/>
                          <a:chOff x="0" y="0"/>
                          <a:chExt cx="5676900" cy="6096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77190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8" style="width:447pt;height:0.47999pt;mso-position-horizontal-relative:char;mso-position-vertical-relative:line" coordsize="56769,60">
                <v:shape id="Shape 318" style="position:absolute;width:19050;height:0;left:0;top:0;" coordsize="1905000,0" path="m0,0l1905000,0">
                  <v:stroke weight="0.47999pt" endcap="flat" joinstyle="miter" miterlimit="10" on="true" color="#000000"/>
                  <v:fill on="false" color="#000000" opacity="0"/>
                </v:shape>
                <v:shape id="Shape 319" style="position:absolute;width:19050;height:0;left:37719;top:0;" coordsize="1905000,0" path="m0,0l1905000,0">
                  <v:stroke weight="0.47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380" w:type="dxa"/>
        <w:tblInd w:w="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4"/>
        <w:gridCol w:w="3656"/>
      </w:tblGrid>
      <w:tr w:rsidR="00187EA3">
        <w:trPr>
          <w:trHeight w:val="230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771" w:firstLine="0"/>
              <w:jc w:val="left"/>
            </w:pPr>
            <w:r>
              <w:t>Contratada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1079" w:firstLine="0"/>
              <w:jc w:val="left"/>
            </w:pPr>
            <w:r>
              <w:t>Contratante</w:t>
            </w:r>
          </w:p>
        </w:tc>
      </w:tr>
      <w:tr w:rsidR="00187EA3">
        <w:trPr>
          <w:trHeight w:val="253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0" w:firstLine="0"/>
              <w:jc w:val="left"/>
            </w:pPr>
            <w:r>
              <w:t>TK ELEVADORES BRASIL LTDA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0" w:firstLine="0"/>
            </w:pPr>
            <w:r>
              <w:t>CÂMARA MUNICIPAL DE CANGUÇU</w:t>
            </w:r>
          </w:p>
        </w:tc>
      </w:tr>
      <w:tr w:rsidR="00187EA3">
        <w:trPr>
          <w:trHeight w:val="253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0" w:firstLine="0"/>
              <w:jc w:val="left"/>
            </w:pPr>
            <w:r>
              <w:t>Nome: Matheus Cidade Machado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187" w:firstLine="0"/>
              <w:jc w:val="left"/>
            </w:pPr>
            <w:r>
              <w:t>Nome: Carlos Eduardo D. Martins</w:t>
            </w:r>
          </w:p>
        </w:tc>
      </w:tr>
      <w:tr w:rsidR="00187EA3">
        <w:trPr>
          <w:trHeight w:val="230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0" w:firstLine="0"/>
              <w:jc w:val="left"/>
            </w:pPr>
            <w:r>
              <w:t>CPF: 854.785.470-34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187EA3" w:rsidRDefault="009D28F8">
            <w:pPr>
              <w:spacing w:after="0" w:line="259" w:lineRule="auto"/>
              <w:ind w:left="176" w:firstLine="0"/>
              <w:jc w:val="left"/>
            </w:pPr>
            <w:r>
              <w:t>CPF: 000.100.310-06</w:t>
            </w:r>
          </w:p>
        </w:tc>
      </w:tr>
    </w:tbl>
    <w:p w:rsidR="00000000" w:rsidRDefault="009D28F8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2054" w:right="987" w:bottom="843" w:left="1418" w:header="284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28F8">
      <w:pPr>
        <w:spacing w:after="0" w:line="240" w:lineRule="auto"/>
      </w:pPr>
      <w:r>
        <w:separator/>
      </w:r>
    </w:p>
  </w:endnote>
  <w:endnote w:type="continuationSeparator" w:id="0">
    <w:p w:rsidR="00000000" w:rsidRDefault="009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D28F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28F8">
      <w:pPr>
        <w:spacing w:after="0" w:line="240" w:lineRule="auto"/>
      </w:pPr>
      <w:r>
        <w:separator/>
      </w:r>
    </w:p>
  </w:footnote>
  <w:footnote w:type="continuationSeparator" w:id="0">
    <w:p w:rsidR="00000000" w:rsidRDefault="009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13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3521075</wp:posOffset>
              </wp:positionH>
              <wp:positionV relativeFrom="page">
                <wp:posOffset>180340</wp:posOffset>
              </wp:positionV>
              <wp:extent cx="715645" cy="731520"/>
              <wp:effectExtent l="0" t="0" r="0" b="0"/>
              <wp:wrapSquare wrapText="bothSides"/>
              <wp:docPr id="7757" name="Group 7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5" cy="731520"/>
                        <a:chOff x="0" y="0"/>
                        <a:chExt cx="715645" cy="731520"/>
                      </a:xfrm>
                    </wpg:grpSpPr>
                    <pic:pic xmlns:pic="http://schemas.openxmlformats.org/drawingml/2006/picture">
                      <pic:nvPicPr>
                        <pic:cNvPr id="7758" name="Picture 77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682" y="-3555"/>
                          <a:ext cx="719328" cy="7345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57" style="width:56.35pt;height:57.6pt;position:absolute;mso-position-horizontal-relative:page;mso-position-horizontal:absolute;margin-left:277.25pt;mso-position-vertical-relative:page;margin-top:14.2pt;" coordsize="7156,7315">
              <v:shape id="Picture 7758" style="position:absolute;width:7193;height:7345;left:-36;top:-35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187EA3" w:rsidRDefault="009D28F8">
    <w:pPr>
      <w:spacing w:after="0" w:line="259" w:lineRule="auto"/>
      <w:ind w:left="0" w:right="123" w:firstLine="0"/>
      <w:jc w:val="center"/>
    </w:pPr>
    <w: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13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3521075</wp:posOffset>
              </wp:positionH>
              <wp:positionV relativeFrom="page">
                <wp:posOffset>180340</wp:posOffset>
              </wp:positionV>
              <wp:extent cx="715645" cy="731520"/>
              <wp:effectExtent l="0" t="0" r="0" b="0"/>
              <wp:wrapSquare wrapText="bothSides"/>
              <wp:docPr id="7740" name="Group 7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5" cy="731520"/>
                        <a:chOff x="0" y="0"/>
                        <a:chExt cx="715645" cy="731520"/>
                      </a:xfrm>
                    </wpg:grpSpPr>
                    <pic:pic xmlns:pic="http://schemas.openxmlformats.org/drawingml/2006/picture">
                      <pic:nvPicPr>
                        <pic:cNvPr id="7741" name="Picture 7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682" y="-3555"/>
                          <a:ext cx="719328" cy="7345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40" style="width:56.35pt;height:57.6pt;position:absolute;mso-position-horizontal-relative:page;mso-position-horizontal:absolute;margin-left:277.25pt;mso-position-vertical-relative:page;margin-top:14.2pt;" coordsize="7156,7315">
              <v:shape id="Picture 7741" style="position:absolute;width:7193;height:7345;left:-36;top:-35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187EA3" w:rsidRDefault="009D28F8">
    <w:pPr>
      <w:spacing w:after="0" w:line="259" w:lineRule="auto"/>
      <w:ind w:left="0" w:right="123" w:firstLine="0"/>
      <w:jc w:val="center"/>
    </w:pPr>
    <w: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A3" w:rsidRDefault="009D28F8">
    <w:pPr>
      <w:spacing w:after="0" w:line="259" w:lineRule="auto"/>
      <w:ind w:left="0" w:right="134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3521075</wp:posOffset>
              </wp:positionH>
              <wp:positionV relativeFrom="page">
                <wp:posOffset>180340</wp:posOffset>
              </wp:positionV>
              <wp:extent cx="715645" cy="731520"/>
              <wp:effectExtent l="0" t="0" r="0" b="0"/>
              <wp:wrapSquare wrapText="bothSides"/>
              <wp:docPr id="7723" name="Group 7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645" cy="731520"/>
                        <a:chOff x="0" y="0"/>
                        <a:chExt cx="715645" cy="731520"/>
                      </a:xfrm>
                    </wpg:grpSpPr>
                    <pic:pic xmlns:pic="http://schemas.openxmlformats.org/drawingml/2006/picture">
                      <pic:nvPicPr>
                        <pic:cNvPr id="7724" name="Picture 77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682" y="-3555"/>
                          <a:ext cx="719328" cy="7345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3" style="width:56.35pt;height:57.6pt;position:absolute;mso-position-horizontal-relative:page;mso-position-horizontal:absolute;margin-left:277.25pt;mso-position-vertical-relative:page;margin-top:14.2pt;" coordsize="7156,7315">
              <v:shape id="Picture 7724" style="position:absolute;width:7193;height:7345;left:-36;top:-35;" filled="f">
                <v:imagedata r:id="rId7"/>
              </v:shape>
              <w10:wrap type="square"/>
            </v:group>
          </w:pict>
        </mc:Fallback>
      </mc:AlternateContent>
    </w:r>
    <w:r>
      <w:rPr>
        <w:sz w:val="24"/>
      </w:rPr>
      <w:t>CÂMARA MUNICIPAL DE CANGUÇU</w:t>
    </w:r>
  </w:p>
  <w:p w:rsidR="00187EA3" w:rsidRDefault="009D28F8">
    <w:pPr>
      <w:spacing w:after="0" w:line="259" w:lineRule="auto"/>
      <w:ind w:left="0" w:right="123" w:firstLine="0"/>
      <w:jc w:val="center"/>
    </w:pPr>
    <w: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918"/>
    <w:multiLevelType w:val="hybridMultilevel"/>
    <w:tmpl w:val="AD1459A2"/>
    <w:lvl w:ilvl="0" w:tplc="22406FAA">
      <w:start w:val="1"/>
      <w:numFmt w:val="decimal"/>
      <w:lvlText w:val="%1)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0AA0E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A1D3E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5A671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9A860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ED73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BC0C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9817A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E18F0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563D3"/>
    <w:multiLevelType w:val="hybridMultilevel"/>
    <w:tmpl w:val="C518BD2C"/>
    <w:lvl w:ilvl="0" w:tplc="BF024B9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058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041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CF4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C57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24A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450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A8A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2C8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D240D"/>
    <w:multiLevelType w:val="hybridMultilevel"/>
    <w:tmpl w:val="8C8C6A32"/>
    <w:lvl w:ilvl="0" w:tplc="7E64556C">
      <w:start w:val="1"/>
      <w:numFmt w:val="upperLetter"/>
      <w:lvlText w:val="%1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8CC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286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4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40B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F8B7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4FB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A33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C03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C03365"/>
    <w:multiLevelType w:val="hybridMultilevel"/>
    <w:tmpl w:val="F3E0811E"/>
    <w:lvl w:ilvl="0" w:tplc="C624DA76">
      <w:start w:val="1"/>
      <w:numFmt w:val="decimal"/>
      <w:lvlText w:val="%1)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463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E37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ECA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45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4D2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A6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B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445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C60F1"/>
    <w:multiLevelType w:val="hybridMultilevel"/>
    <w:tmpl w:val="AA16AE7A"/>
    <w:lvl w:ilvl="0" w:tplc="F9028332">
      <w:start w:val="1"/>
      <w:numFmt w:val="decimal"/>
      <w:lvlText w:val="%1)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A8D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A2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C8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687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EA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87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8A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F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3"/>
    <w:rsid w:val="00187EA3"/>
    <w:rsid w:val="009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A2C96EF-6353-4A12-BC40-44392E5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8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8"/>
      <w:ind w:left="13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2314</Words>
  <Characters>13195</Characters>
  <Application>Microsoft Office Word</Application>
  <DocSecurity>4</DocSecurity>
  <Lines>109</Lines>
  <Paragraphs>30</Paragraphs>
  <ScaleCrop>false</ScaleCrop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2026-07-22T12:28:00Z</dcterms:created>
  <dcterms:modified xsi:type="dcterms:W3CDTF">2026-07-22T12:28:00Z</dcterms:modified>
</cp:coreProperties>
</file>