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DF" w:rsidRDefault="00665BB4">
      <w:pPr>
        <w:spacing w:after="113" w:line="259" w:lineRule="auto"/>
        <w:ind w:left="0" w:right="7" w:firstLine="0"/>
        <w:jc w:val="center"/>
      </w:pPr>
      <w:bookmarkStart w:id="0" w:name="_GoBack"/>
      <w:bookmarkEnd w:id="0"/>
      <w:r>
        <w:t>TERMO DE REFERÊNCIA</w:t>
      </w:r>
      <w:r>
        <w:t xml:space="preserve"> </w:t>
      </w:r>
    </w:p>
    <w:p w:rsidR="00D07EDF" w:rsidRDefault="00665BB4">
      <w:pPr>
        <w:spacing w:after="180" w:line="259" w:lineRule="auto"/>
        <w:ind w:left="0" w:firstLine="0"/>
        <w:jc w:val="center"/>
      </w:pPr>
      <w:r>
        <w:t xml:space="preserve">PROCESSO Nº 019/2026 – DISPENSA DE LICITAÇÃO Nº 012/2026 </w:t>
      </w:r>
    </w:p>
    <w:p w:rsidR="00D07EDF" w:rsidRDefault="00665BB4">
      <w:pPr>
        <w:pStyle w:val="Heading1"/>
        <w:ind w:left="244" w:right="0" w:hanging="259"/>
      </w:pPr>
      <w:r>
        <w:t>DO OBJETO</w:t>
      </w:r>
      <w:r>
        <w:t xml:space="preserve"> </w:t>
      </w:r>
    </w:p>
    <w:p w:rsidR="00D07EDF" w:rsidRDefault="00665BB4">
      <w:pPr>
        <w:spacing w:after="3"/>
        <w:ind w:left="-5" w:right="-9"/>
      </w:pPr>
      <w:r>
        <w:t xml:space="preserve">Aquisição de equipamentos, periféricos e materiais de informática, por meio de Dispensa de Licitação, conforme condições, quantidades e exigências estabelecidas neste Termo de Referência, visando atender às necessidades da Câmara Municipal de Canguçu. </w:t>
      </w:r>
      <w:r>
        <w:t>LOTE</w:t>
      </w:r>
      <w:r>
        <w:t xml:space="preserve"> 01</w:t>
      </w:r>
      <w:r>
        <w:t xml:space="preserve"> </w:t>
      </w:r>
    </w:p>
    <w:tbl>
      <w:tblPr>
        <w:tblStyle w:val="TableGrid"/>
        <w:tblW w:w="9641" w:type="dxa"/>
        <w:tblInd w:w="308" w:type="dxa"/>
        <w:tblCellMar>
          <w:top w:w="69" w:type="dxa"/>
          <w:left w:w="62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452"/>
        <w:gridCol w:w="4550"/>
        <w:gridCol w:w="607"/>
        <w:gridCol w:w="552"/>
        <w:gridCol w:w="2058"/>
        <w:gridCol w:w="1422"/>
      </w:tblGrid>
      <w:tr w:rsidR="00D07EDF">
        <w:trPr>
          <w:trHeight w:val="790"/>
        </w:trPr>
        <w:tc>
          <w:tcPr>
            <w:tcW w:w="452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EDF" w:rsidRDefault="00665BB4">
            <w:pPr>
              <w:spacing w:after="0" w:line="259" w:lineRule="auto"/>
              <w:ind w:left="51" w:right="0" w:hanging="26"/>
              <w:jc w:val="left"/>
            </w:pPr>
            <w:r>
              <w:rPr>
                <w:sz w:val="19"/>
              </w:rPr>
              <w:t>Ite m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4550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EDF" w:rsidRDefault="00665BB4">
            <w:pPr>
              <w:spacing w:after="0" w:line="259" w:lineRule="auto"/>
              <w:ind w:left="31" w:right="0" w:firstLine="0"/>
            </w:pPr>
            <w:r>
              <w:rPr>
                <w:sz w:val="19"/>
              </w:rPr>
              <w:t xml:space="preserve">EQUIPAMENTOS, PERIFÉRICOS E MATERIAIS </w:t>
            </w:r>
          </w:p>
          <w:p w:rsidR="00D07EDF" w:rsidRDefault="00665BB4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9"/>
              </w:rPr>
              <w:t>DE INFORMÁTICA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607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EDF" w:rsidRDefault="00665BB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9"/>
              </w:rPr>
              <w:t>Unid</w:t>
            </w:r>
          </w:p>
          <w:p w:rsidR="00D07EDF" w:rsidRDefault="00665BB4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9"/>
              </w:rPr>
              <w:t>.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552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EDF" w:rsidRDefault="00665BB4">
            <w:pPr>
              <w:spacing w:after="0" w:line="259" w:lineRule="auto"/>
              <w:ind w:left="135" w:right="0" w:hanging="113"/>
              <w:jc w:val="left"/>
            </w:pPr>
            <w:r>
              <w:rPr>
                <w:sz w:val="19"/>
              </w:rPr>
              <w:t>Qtd e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2057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EDF" w:rsidRDefault="00665BB4">
            <w:pPr>
              <w:spacing w:after="0" w:line="259" w:lineRule="auto"/>
              <w:ind w:left="518" w:right="0" w:hanging="276"/>
              <w:jc w:val="left"/>
            </w:pPr>
            <w:r>
              <w:rPr>
                <w:sz w:val="19"/>
              </w:rPr>
              <w:t>Valor estimado (unitário)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422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7EDF" w:rsidRDefault="00665BB4">
            <w:pPr>
              <w:spacing w:after="0" w:line="254" w:lineRule="auto"/>
              <w:ind w:left="197" w:right="0" w:firstLine="185"/>
              <w:jc w:val="left"/>
            </w:pPr>
            <w:r>
              <w:rPr>
                <w:sz w:val="19"/>
              </w:rPr>
              <w:t xml:space="preserve">Valor estimado </w:t>
            </w:r>
          </w:p>
          <w:p w:rsidR="00D07EDF" w:rsidRDefault="00665BB4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9"/>
              </w:rPr>
              <w:t>(total)</w:t>
            </w:r>
            <w:r>
              <w:rPr>
                <w:sz w:val="19"/>
              </w:rPr>
              <w:t xml:space="preserve"> </w:t>
            </w:r>
          </w:p>
        </w:tc>
      </w:tr>
      <w:tr w:rsidR="00D07EDF">
        <w:trPr>
          <w:trHeight w:val="36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9"/>
              </w:rPr>
              <w:t xml:space="preserve">1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9"/>
              </w:rPr>
              <w:t xml:space="preserve">Mouse USB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19"/>
              </w:rPr>
              <w:t xml:space="preserve">20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9"/>
              </w:rPr>
              <w:t xml:space="preserve">R$ 112,67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93" w:right="0" w:firstLine="0"/>
              <w:jc w:val="left"/>
            </w:pPr>
            <w:r>
              <w:rPr>
                <w:sz w:val="19"/>
              </w:rPr>
              <w:t xml:space="preserve">R$ 2.253,33 </w:t>
            </w:r>
          </w:p>
        </w:tc>
      </w:tr>
      <w:tr w:rsidR="00D07EDF">
        <w:trPr>
          <w:trHeight w:val="3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9"/>
              </w:rPr>
              <w:t xml:space="preserve">2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19"/>
              </w:rPr>
              <w:t xml:space="preserve">Teclado USB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9"/>
              </w:rPr>
              <w:t xml:space="preserve">20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9"/>
              </w:rPr>
              <w:t xml:space="preserve">R$ 124,33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19"/>
              </w:rPr>
              <w:t xml:space="preserve">R$ 2.486,67 </w:t>
            </w:r>
          </w:p>
        </w:tc>
      </w:tr>
      <w:tr w:rsidR="00D07EDF">
        <w:trPr>
          <w:trHeight w:val="3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9"/>
              </w:rPr>
              <w:t xml:space="preserve">3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9"/>
              </w:rPr>
              <w:t xml:space="preserve">Nobreak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9"/>
              </w:rPr>
              <w:t xml:space="preserve">R$ 530,00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19"/>
              </w:rPr>
              <w:t xml:space="preserve">R$ 5.300,00 </w:t>
            </w:r>
          </w:p>
        </w:tc>
      </w:tr>
      <w:tr w:rsidR="00D07EDF">
        <w:trPr>
          <w:trHeight w:val="582"/>
        </w:trPr>
        <w:tc>
          <w:tcPr>
            <w:tcW w:w="4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EDF" w:rsidRDefault="00665BB4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9"/>
              </w:rPr>
              <w:t xml:space="preserve">4 </w:t>
            </w:r>
          </w:p>
        </w:tc>
        <w:tc>
          <w:tcPr>
            <w:tcW w:w="45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694" w:right="0" w:hanging="1406"/>
              <w:jc w:val="left"/>
            </w:pPr>
            <w:r>
              <w:rPr>
                <w:sz w:val="19"/>
              </w:rPr>
              <w:t xml:space="preserve">Kit de chaves de precisão para manutenção profissional 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EDF" w:rsidRDefault="00665BB4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EDF" w:rsidRDefault="00665BB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9"/>
              </w:rPr>
              <w:t xml:space="preserve">01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EDF" w:rsidRDefault="00665BB4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9"/>
              </w:rPr>
              <w:t xml:space="preserve">R$ 64,67 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EDF" w:rsidRDefault="00665BB4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19"/>
              </w:rPr>
              <w:t xml:space="preserve">R$ 64,67 </w:t>
            </w:r>
          </w:p>
        </w:tc>
      </w:tr>
      <w:tr w:rsidR="00D07EDF">
        <w:trPr>
          <w:trHeight w:val="3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9"/>
              </w:rPr>
              <w:t xml:space="preserve">5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9"/>
              </w:rPr>
              <w:t xml:space="preserve">Kit suporte articulado para monitor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9"/>
              </w:rPr>
              <w:t xml:space="preserve">04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9"/>
              </w:rPr>
              <w:t xml:space="preserve">R$ 683,33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19"/>
              </w:rPr>
              <w:t xml:space="preserve">R$ 2.733,33 </w:t>
            </w:r>
          </w:p>
        </w:tc>
      </w:tr>
      <w:tr w:rsidR="00D07EDF">
        <w:trPr>
          <w:trHeight w:val="34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9"/>
              </w:rPr>
              <w:t xml:space="preserve">6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9"/>
              </w:rPr>
              <w:t xml:space="preserve">Caixa de som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19"/>
              </w:rPr>
              <w:t xml:space="preserve">par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9"/>
              </w:rPr>
              <w:t xml:space="preserve">R$ 64,67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9"/>
              </w:rPr>
              <w:t xml:space="preserve">R$ 646,67 </w:t>
            </w:r>
          </w:p>
        </w:tc>
      </w:tr>
      <w:tr w:rsidR="00D07EDF">
        <w:trPr>
          <w:trHeight w:val="3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9"/>
              </w:rPr>
              <w:t xml:space="preserve">7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9"/>
              </w:rPr>
              <w:t xml:space="preserve">Spray limpa contato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9"/>
              </w:rPr>
              <w:t xml:space="preserve">R$ 34,00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9"/>
              </w:rPr>
              <w:t xml:space="preserve">R$ 340,00 </w:t>
            </w:r>
          </w:p>
        </w:tc>
      </w:tr>
      <w:tr w:rsidR="00D07EDF">
        <w:trPr>
          <w:trHeight w:val="3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9"/>
              </w:rPr>
              <w:t xml:space="preserve">8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9"/>
              </w:rPr>
              <w:t xml:space="preserve">SSD SATA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19"/>
              </w:rPr>
              <w:t xml:space="preserve">R$ 473,33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19"/>
              </w:rPr>
              <w:t xml:space="preserve">R$ 4.733,33 </w:t>
            </w:r>
          </w:p>
        </w:tc>
      </w:tr>
      <w:tr w:rsidR="00D07EDF">
        <w:trPr>
          <w:trHeight w:val="3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9"/>
              </w:rPr>
              <w:t xml:space="preserve">9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54" w:right="0" w:firstLine="0"/>
              <w:jc w:val="left"/>
            </w:pPr>
            <w:r>
              <w:rPr>
                <w:sz w:val="19"/>
              </w:rPr>
              <w:t xml:space="preserve">Abraçadeiras de identificação para fibras e cabos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19"/>
              </w:rPr>
              <w:t xml:space="preserve">pct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9"/>
              </w:rPr>
              <w:t xml:space="preserve">R$ 49,33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9"/>
              </w:rPr>
              <w:t xml:space="preserve">R$ 493,33 </w:t>
            </w:r>
          </w:p>
        </w:tc>
      </w:tr>
      <w:tr w:rsidR="00D07EDF">
        <w:trPr>
          <w:trHeight w:val="34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9"/>
              </w:rPr>
              <w:t xml:space="preserve">Fonte de alimentação ATX 400W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19"/>
              </w:rPr>
              <w:t xml:space="preserve">05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19"/>
              </w:rPr>
              <w:t xml:space="preserve">R$ 446,67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19"/>
              </w:rPr>
              <w:t xml:space="preserve">R$ 2.233,33 </w:t>
            </w:r>
          </w:p>
        </w:tc>
      </w:tr>
      <w:tr w:rsidR="00D07EDF">
        <w:trPr>
          <w:trHeight w:val="3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9"/>
              </w:rPr>
              <w:t xml:space="preserve">11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9"/>
              </w:rPr>
              <w:t xml:space="preserve">Conjunto de teclado e mouse sem fio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9"/>
              </w:rPr>
              <w:t xml:space="preserve">R$ 230,00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19"/>
              </w:rPr>
              <w:t xml:space="preserve">R$ 2.300,00 </w:t>
            </w:r>
          </w:p>
        </w:tc>
      </w:tr>
      <w:tr w:rsidR="00D07EDF">
        <w:trPr>
          <w:trHeight w:val="3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9"/>
              </w:rPr>
              <w:t xml:space="preserve">12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19"/>
              </w:rPr>
              <w:t xml:space="preserve">Monitor 24 polegadas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9"/>
              </w:rPr>
              <w:t xml:space="preserve">08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9"/>
              </w:rPr>
              <w:t xml:space="preserve">R$ 750,00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93" w:right="0" w:firstLine="0"/>
              <w:jc w:val="left"/>
            </w:pPr>
            <w:r>
              <w:rPr>
                <w:sz w:val="19"/>
              </w:rPr>
              <w:t xml:space="preserve">R$ 6.000,00 </w:t>
            </w:r>
          </w:p>
        </w:tc>
      </w:tr>
      <w:tr w:rsidR="00D07EDF">
        <w:trPr>
          <w:trHeight w:val="3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9"/>
              </w:rPr>
              <w:t xml:space="preserve">13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9"/>
              </w:rPr>
              <w:t xml:space="preserve">Cabo adaptador HDMI para VGA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9"/>
              </w:rPr>
              <w:t xml:space="preserve">05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9"/>
              </w:rPr>
              <w:t xml:space="preserve">R$ 37,67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9"/>
              </w:rPr>
              <w:t xml:space="preserve">R$ 188,33 </w:t>
            </w:r>
          </w:p>
        </w:tc>
      </w:tr>
      <w:tr w:rsidR="00D07EDF">
        <w:trPr>
          <w:trHeight w:val="346"/>
        </w:trPr>
        <w:tc>
          <w:tcPr>
            <w:tcW w:w="45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9"/>
              </w:rPr>
              <w:t xml:space="preserve">14 </w:t>
            </w:r>
          </w:p>
        </w:tc>
        <w:tc>
          <w:tcPr>
            <w:tcW w:w="45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9"/>
              </w:rPr>
              <w:t xml:space="preserve">Hub adaptador multiportas USB-C 6 em 1 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un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9"/>
              </w:rPr>
              <w:t xml:space="preserve">R$ 127,33 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19"/>
              </w:rPr>
              <w:t xml:space="preserve">R$ 1.273,33 </w:t>
            </w:r>
          </w:p>
        </w:tc>
      </w:tr>
      <w:tr w:rsidR="00D07EDF">
        <w:trPr>
          <w:trHeight w:val="361"/>
        </w:trPr>
        <w:tc>
          <w:tcPr>
            <w:tcW w:w="8219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19"/>
              </w:rPr>
              <w:t>VALOR TOTAL ESTIMADO DA CONTRATAÇÃO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DF" w:rsidRDefault="00665BB4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19"/>
              </w:rPr>
              <w:t>R$ 31.046,33</w:t>
            </w:r>
            <w:r>
              <w:rPr>
                <w:sz w:val="19"/>
              </w:rPr>
              <w:t xml:space="preserve"> </w:t>
            </w:r>
          </w:p>
        </w:tc>
      </w:tr>
    </w:tbl>
    <w:p w:rsidR="00D07EDF" w:rsidRDefault="00665BB4">
      <w:pPr>
        <w:spacing w:after="111" w:line="259" w:lineRule="auto"/>
        <w:ind w:left="0" w:right="0" w:firstLine="0"/>
        <w:jc w:val="left"/>
      </w:pPr>
      <w:r>
        <w:t xml:space="preserve"> </w:t>
      </w:r>
    </w:p>
    <w:p w:rsidR="00D07EDF" w:rsidRDefault="00665BB4">
      <w:pPr>
        <w:spacing w:after="170"/>
        <w:ind w:left="-5" w:right="-9"/>
      </w:pPr>
      <w:r>
        <w:t>A presente contratação é caracterizada como aquisição de bens comuns de informática, uma vez que os padrões de desempenho, qualidade e especificações dos itens podem ser objetivamente definidos neste Termo de Referência e nos documentos que instruem o proc</w:t>
      </w:r>
      <w:r>
        <w:t xml:space="preserve">esso, permitindo a adequada identificação da proposta mais vantajosa em procedimento de contratação direta, conforme legislação vigente. </w:t>
      </w:r>
    </w:p>
    <w:p w:rsidR="00D07EDF" w:rsidRDefault="00665BB4">
      <w:pPr>
        <w:pStyle w:val="Heading1"/>
        <w:ind w:left="244" w:right="0" w:hanging="259"/>
      </w:pPr>
      <w:r>
        <w:t>FUNDAMENTOS DA CONTRATAÇÃO</w:t>
      </w:r>
      <w:r>
        <w:t xml:space="preserve"> </w:t>
      </w:r>
    </w:p>
    <w:p w:rsidR="00D07EDF" w:rsidRDefault="00665BB4">
      <w:pPr>
        <w:ind w:left="-5" w:right="-9"/>
      </w:pPr>
      <w:r>
        <w:t xml:space="preserve">A contratação tem por objetivo atender às demandas do Setor de Tecnologia da Informação da Câmara Municipal de Canguçu, assegurando a continuidade das atividades administrativas, legislativas e operacionais da Casa Legislativa. </w:t>
      </w:r>
    </w:p>
    <w:p w:rsidR="00D07EDF" w:rsidRDefault="00665BB4">
      <w:pPr>
        <w:ind w:left="-5" w:right="-9"/>
      </w:pPr>
      <w:r>
        <w:lastRenderedPageBreak/>
        <w:t>Os itens pretendidos são ne</w:t>
      </w:r>
      <w:r>
        <w:t>cessários para reposição de periféricos, manutenção preventiva e corretiva de equipamentos, organização da infraestrutura de cabos e fibras, proteção contra oscilações de energia elétrica e melhoria das estações de trabalho utilizadas por servidores, verea</w:t>
      </w:r>
      <w:r>
        <w:t xml:space="preserve">dores e demais usuários internos. </w:t>
      </w:r>
    </w:p>
    <w:p w:rsidR="00D07EDF" w:rsidRDefault="00665BB4">
      <w:pPr>
        <w:ind w:left="-5" w:right="-9"/>
      </w:pPr>
      <w:r>
        <w:t>A aquisição de nobreaks contribui para a proteção dos equipamentos contra interrupções e oscilações de energia, reduzindo riscos de danos e perda de informações. Os monitores, teclados, mouses, SSDs, fontes de alimentação</w:t>
      </w:r>
      <w:r>
        <w:t xml:space="preserve">, adaptadores, hubs e demais acessórios possibilitam a substituição de componentes desgastados ou inadequados e o suporte técnico às rotinas institucionais. </w:t>
      </w:r>
    </w:p>
    <w:p w:rsidR="00D07EDF" w:rsidRDefault="00665BB4">
      <w:pPr>
        <w:spacing w:after="170"/>
        <w:ind w:left="-5" w:right="-9"/>
      </w:pPr>
      <w:r>
        <w:t>A demanda possui grau de prioridade alta, em razão da necessidade de assegurar funcionamento contí</w:t>
      </w:r>
      <w:r>
        <w:t xml:space="preserve">nuo, eficiente e seguro dos recursos tecnológicos utilizados pela Câmara Municipal. A contratação será realizada por meio de Dispensa de Licitação, nos termos da Lei nº 14.133/2021 e do enquadramento definido nos autos do Processo nº 019/2026. </w:t>
      </w:r>
    </w:p>
    <w:p w:rsidR="00D07EDF" w:rsidRDefault="00665BB4">
      <w:pPr>
        <w:pStyle w:val="Heading1"/>
        <w:ind w:left="244" w:right="0" w:hanging="259"/>
      </w:pPr>
      <w:r>
        <w:t>DESCRIÇÃO D</w:t>
      </w:r>
      <w:r>
        <w:t>A SOLUÇÃO COMO UM TODO</w:t>
      </w:r>
      <w:r>
        <w:t xml:space="preserve"> </w:t>
      </w:r>
    </w:p>
    <w:p w:rsidR="00D07EDF" w:rsidRDefault="00665BB4">
      <w:pPr>
        <w:ind w:left="-5" w:right="-9"/>
      </w:pPr>
      <w:r>
        <w:t>A solução contempla a contratação de empresa especializada no fornecimento de equipamentos, periféricos e materiais de informática, destinados à manutenção e ao aprimoramento da infraestrutura tecnológica da Câmara Municipal de Cang</w:t>
      </w:r>
      <w:r>
        <w:t xml:space="preserve">uçu. </w:t>
      </w:r>
    </w:p>
    <w:p w:rsidR="00D07EDF" w:rsidRDefault="00665BB4">
      <w:pPr>
        <w:ind w:left="-5" w:right="-9"/>
      </w:pPr>
      <w:r>
        <w:t xml:space="preserve">A medida objetiva assegurar a reposição de periféricos e componentes, a melhoria das estações de trabalho, a proteção dos equipamentos contra falhas elétricas, a organização da infraestrutura de cabos e o adequado suporte às rotinas administrativas, </w:t>
      </w:r>
      <w:r>
        <w:t xml:space="preserve">legislativas e operacionais da Casa Legislativa. </w:t>
      </w:r>
    </w:p>
    <w:p w:rsidR="00D07EDF" w:rsidRDefault="00665BB4">
      <w:pPr>
        <w:ind w:left="-5" w:right="-9"/>
      </w:pPr>
      <w:r>
        <w:t>A contratada será responsável pelo fornecimento integral dos produtos descritos neste Termo de Referência, observando rigorosamente as especificações, os quantitativos, o prazo de entrega, a integridade das</w:t>
      </w:r>
      <w:r>
        <w:t xml:space="preserve"> embalagens, o perfeito funcionamento dos itens e o cumprimento das normas aplicáveis ao fornecimento de equipamentos de informática. </w:t>
      </w:r>
    </w:p>
    <w:p w:rsidR="00D07EDF" w:rsidRDefault="00665BB4">
      <w:pPr>
        <w:spacing w:after="170"/>
        <w:ind w:left="-5" w:right="-9"/>
      </w:pPr>
      <w:r>
        <w:t xml:space="preserve">Dessa forma, a contratação mostra-se necessária e adequada para garantir a continuidade do serviço público, a eficiência </w:t>
      </w:r>
      <w:r>
        <w:t xml:space="preserve">administrativa e a manutenção da estrutura tecnológica da Câmara Municipal. </w:t>
      </w:r>
    </w:p>
    <w:p w:rsidR="00D07EDF" w:rsidRDefault="00665BB4">
      <w:pPr>
        <w:pStyle w:val="Heading1"/>
        <w:ind w:left="244" w:right="0" w:hanging="259"/>
      </w:pPr>
      <w:r>
        <w:t>REQUISITOS DA CONTRATAÇÃO</w:t>
      </w:r>
      <w:r>
        <w:t xml:space="preserve"> </w:t>
      </w:r>
    </w:p>
    <w:p w:rsidR="00D07EDF" w:rsidRDefault="00665BB4">
      <w:pPr>
        <w:ind w:left="-5" w:right="-9"/>
      </w:pPr>
      <w:r>
        <w:t>A contratada deverá fornecer os equipamentos, periféricos e materiais de informática em total conformidade com as especificações técnicas e quantitativo</w:t>
      </w:r>
      <w:r>
        <w:t xml:space="preserve">s constantes neste Termo de Referência, no Documento de Formalização de Demanda, no Estudo Técnico Preliminar e nos demais documentos que integrem o processo administrativo. </w:t>
      </w:r>
    </w:p>
    <w:p w:rsidR="00D07EDF" w:rsidRDefault="00665BB4">
      <w:pPr>
        <w:ind w:left="-5" w:right="-9"/>
      </w:pPr>
      <w:r>
        <w:t>Todos os itens fornecidos deverão ser novos, sem uso anterior, em perfeitas condi</w:t>
      </w:r>
      <w:r>
        <w:t>ções de funcionamento, devidamente embalados, identificados e acompanhados, quando aplicável, de manuais, cabos, acessórios necessários, nota fiscal e garantia legal ou garantia do fabricante. Não serão aceitos itens usados, recondicionados, remanufaturado</w:t>
      </w:r>
      <w:r>
        <w:t xml:space="preserve">s, avariados ou em desacordo com as especificações solicitadas. </w:t>
      </w:r>
    </w:p>
    <w:p w:rsidR="00D07EDF" w:rsidRDefault="00665BB4">
      <w:pPr>
        <w:ind w:left="-5" w:right="-9"/>
      </w:pPr>
      <w:r>
        <w:t>Os produtos deverão apresentar compatibilidade com o uso institucional, qualidade adequada, segurança operacional e conformidade com as normas técnicas e regulatórias aplicáveis, especialment</w:t>
      </w:r>
      <w:r>
        <w:t xml:space="preserve">e quanto aos itens elétricos e eletrônicos, como nobreaks, fontes de alimentação, monitores, adaptadores, hubs e demais equipamentos de informática. </w:t>
      </w:r>
    </w:p>
    <w:p w:rsidR="00D07EDF" w:rsidRDefault="00665BB4">
      <w:pPr>
        <w:ind w:left="-5" w:right="-9"/>
      </w:pPr>
      <w:r>
        <w:t>A entrega deverá ocorrer no prazo de até 10 (dez) dias, na sede da Câmara Municipal de Canguçu, em horário</w:t>
      </w:r>
      <w:r>
        <w:t xml:space="preserve"> a ser definido pela fiscalização ou pelo setor responsável pelo recebimento. O recebimento deverá ocorrer em duas etapas: provisório, para conferência inicial dos itens entregues, e definitivo, após verificação das especificações, quantidades, condições d</w:t>
      </w:r>
      <w:r>
        <w:t xml:space="preserve">e funcionamento, integridade física dos produtos e regularidade da documentação fiscal. </w:t>
      </w:r>
    </w:p>
    <w:p w:rsidR="00D07EDF" w:rsidRDefault="00665BB4">
      <w:pPr>
        <w:spacing w:after="170"/>
        <w:ind w:left="-5" w:right="-9"/>
      </w:pPr>
      <w:r>
        <w:t>A contratada será responsável pela substituição imediata de qualquer item entregue em desacordo com o solicitado, com vício aparente, defeito de funcionamento, incompa</w:t>
      </w:r>
      <w:r>
        <w:t xml:space="preserve">tibilidade técnica ou ausência de documentação mínima exigida. </w:t>
      </w:r>
    </w:p>
    <w:p w:rsidR="00D07EDF" w:rsidRDefault="00665BB4">
      <w:pPr>
        <w:pStyle w:val="Heading1"/>
        <w:ind w:left="244" w:right="0" w:hanging="259"/>
      </w:pPr>
      <w:r>
        <w:t>CRITÉRIOS DE PAGAMENTO</w:t>
      </w:r>
      <w:r>
        <w:t xml:space="preserve"> </w:t>
      </w:r>
    </w:p>
    <w:p w:rsidR="00D07EDF" w:rsidRDefault="00665BB4">
      <w:pPr>
        <w:spacing w:after="170"/>
        <w:ind w:left="-5" w:right="-9"/>
      </w:pPr>
      <w:r>
        <w:t>O pagamento será realizado mediante apresentação de nota fiscal pela contratada, após o recebimento definitivo e o devido atesto pelo setor responsável, no prazo de até</w:t>
      </w:r>
      <w:r>
        <w:t xml:space="preserve"> 05 (cinco) dias úteis após sua emissão, observadas as condições estabelecidas neste Termo de Referência e a disponibilidade dos documentos fiscais e administrativos exigidos. </w:t>
      </w:r>
    </w:p>
    <w:p w:rsidR="00D07EDF" w:rsidRDefault="00665BB4">
      <w:pPr>
        <w:pStyle w:val="Heading1"/>
        <w:ind w:left="244" w:right="0" w:hanging="259"/>
      </w:pPr>
      <w:r>
        <w:t>OBRIGAÇÕES DA CONTRATANTE</w:t>
      </w:r>
      <w:r>
        <w:t xml:space="preserve"> </w:t>
      </w:r>
    </w:p>
    <w:p w:rsidR="00D07EDF" w:rsidRDefault="00665BB4">
      <w:pPr>
        <w:spacing w:after="172"/>
        <w:ind w:left="-5" w:right="-9"/>
      </w:pPr>
      <w:r>
        <w:t>Compete à contratante efetuar o pagamento devido à c</w:t>
      </w:r>
      <w:r>
        <w:t>ontratada conforme definido neste Termo de Referência; garantir condições adequadas para recebimento dos produtos; designar servidor responsável para acompanhar e fiscalizar a execução da contratação; realizar a conferência provisória e definitiva dos iten</w:t>
      </w:r>
      <w:r>
        <w:t xml:space="preserve">s; comunicar formalmente eventuais desconformidades; e adotar as providências cabíveis caso os produtos entregues não atendam às especificações pactuadas, inclusive aplicação de sanções quando cabível. </w:t>
      </w:r>
    </w:p>
    <w:p w:rsidR="00D07EDF" w:rsidRDefault="00665BB4">
      <w:pPr>
        <w:pStyle w:val="Heading1"/>
        <w:ind w:left="244" w:right="0" w:hanging="259"/>
      </w:pPr>
      <w:r>
        <w:t>OBRIGAÇÕES DA CONTRATADA</w:t>
      </w:r>
      <w:r>
        <w:t xml:space="preserve"> </w:t>
      </w:r>
    </w:p>
    <w:p w:rsidR="00D07EDF" w:rsidRDefault="00665BB4">
      <w:pPr>
        <w:ind w:left="-5" w:right="-9"/>
      </w:pPr>
      <w:r>
        <w:t>A contratada deverá cumprir</w:t>
      </w:r>
      <w:r>
        <w:t xml:space="preserve"> todas as obrigações previstas neste Termo de Referência e nos documentos que integram a Dispensa de Licitação nº 012/2026, assumindo responsabilidade integral pelo fornecimento do objeto. </w:t>
      </w:r>
    </w:p>
    <w:p w:rsidR="00D07EDF" w:rsidRDefault="00665BB4">
      <w:pPr>
        <w:spacing w:after="172"/>
        <w:ind w:left="-5" w:right="-9"/>
      </w:pPr>
      <w:r>
        <w:t>Entre suas obrigações destacam-se: entregar todos os itens conform</w:t>
      </w:r>
      <w:r>
        <w:t>e especificações técnicas, marcas e/ou padrões aceitos, unidades de medida e quantidades definidas; fornecer produtos novos, embalados, identificados e em perfeitas condições de uso; garantir a qualidade, a compatibilidade e a segurança dos itens; apresent</w:t>
      </w:r>
      <w:r>
        <w:t>ar nota fiscal e documentação fiscal regular; substituir imediatamente produtos defeituosos, incompatíveis ou entregues em desacordo; manter comunicação com a fiscalização designada; prestar informações necessárias à conferência; e não subcontratar o forne</w:t>
      </w:r>
      <w:r>
        <w:t xml:space="preserve">cimento sem autorização expressa da contratante. </w:t>
      </w:r>
    </w:p>
    <w:p w:rsidR="00D07EDF" w:rsidRDefault="00665BB4">
      <w:pPr>
        <w:pStyle w:val="Heading1"/>
        <w:ind w:left="244" w:right="0" w:hanging="259"/>
      </w:pPr>
      <w:r>
        <w:t>ESTIMATIVA DE PREÇOS</w:t>
      </w:r>
      <w:r>
        <w:t xml:space="preserve"> </w:t>
      </w:r>
    </w:p>
    <w:p w:rsidR="00D07EDF" w:rsidRDefault="00665BB4">
      <w:pPr>
        <w:ind w:left="-5" w:right="-9"/>
      </w:pPr>
      <w:r>
        <w:t>O custo estimado total da contratação é de R$ 31.046,33 (trinta e um mil quarenta e seis reais e trinta e três centavos), valor composto pelos itens que integram a presente aquisição d</w:t>
      </w:r>
      <w:r>
        <w:t xml:space="preserve">e equipamentos, periféricos e materiais de informática. </w:t>
      </w:r>
    </w:p>
    <w:p w:rsidR="00D07EDF" w:rsidRDefault="00665BB4">
      <w:pPr>
        <w:spacing w:after="170"/>
        <w:ind w:left="-5" w:right="-9"/>
      </w:pPr>
      <w:r>
        <w:t>Os valores foram levantados mediante pesquisa de preços realizada pelo setor competente, conforme formação de preço juntada aos autos, servindo de base para a estimativa global da contratação por dispensa de licitação. A estimativa considera a média dos or</w:t>
      </w:r>
      <w:r>
        <w:t xml:space="preserve">çamentos apresentados para cada item. </w:t>
      </w:r>
    </w:p>
    <w:p w:rsidR="00D07EDF" w:rsidRDefault="00665BB4">
      <w:pPr>
        <w:pStyle w:val="Heading1"/>
        <w:ind w:left="246" w:right="0" w:hanging="261"/>
      </w:pPr>
      <w:r>
        <w:t>ADEQUAÇÃO ORÇAMENTÁRIA</w:t>
      </w:r>
      <w:r>
        <w:t xml:space="preserve"> </w:t>
      </w:r>
    </w:p>
    <w:p w:rsidR="00D07EDF" w:rsidRDefault="00665BB4">
      <w:pPr>
        <w:ind w:left="-5" w:right="-9"/>
      </w:pPr>
      <w:r>
        <w:t xml:space="preserve">O dispêndio decorrente da contratação ora pretendida decorrerá da seguinte dotação orçamentária, a ser preenchida pelo setor competente: </w:t>
      </w:r>
    </w:p>
    <w:p w:rsidR="00D07EDF" w:rsidRDefault="00665BB4">
      <w:pPr>
        <w:spacing w:after="97" w:line="259" w:lineRule="auto"/>
        <w:ind w:left="333" w:right="0"/>
        <w:jc w:val="left"/>
      </w:pPr>
      <w:r>
        <w:t></w:t>
      </w:r>
      <w:r>
        <w:t xml:space="preserve"> </w:t>
      </w:r>
      <w:r>
        <w:rPr>
          <w:color w:val="333333"/>
        </w:rPr>
        <w:t>Unidade Orçamentária: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>01.01 - CÂMARA MUNICIPAL DE VEREADORES</w:t>
      </w:r>
      <w:r>
        <w:t xml:space="preserve"> </w:t>
      </w:r>
    </w:p>
    <w:p w:rsidR="00D07EDF" w:rsidRDefault="00665BB4">
      <w:pPr>
        <w:numPr>
          <w:ilvl w:val="1"/>
          <w:numId w:val="1"/>
        </w:numPr>
        <w:spacing w:after="97" w:line="259" w:lineRule="auto"/>
        <w:ind w:left="673" w:right="0" w:hanging="350"/>
        <w:jc w:val="left"/>
      </w:pPr>
      <w:r>
        <w:rPr>
          <w:color w:val="333333"/>
        </w:rPr>
        <w:t>Projeto/Atividade: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>2.001 – Manutenção das Atividades Legislativas</w:t>
      </w:r>
      <w:r>
        <w:t xml:space="preserve"> </w:t>
      </w:r>
    </w:p>
    <w:p w:rsidR="00D07EDF" w:rsidRDefault="00665BB4">
      <w:pPr>
        <w:numPr>
          <w:ilvl w:val="1"/>
          <w:numId w:val="1"/>
        </w:numPr>
        <w:spacing w:after="97" w:line="259" w:lineRule="auto"/>
        <w:ind w:left="673" w:right="0" w:hanging="350"/>
        <w:jc w:val="left"/>
      </w:pPr>
      <w:r>
        <w:rPr>
          <w:color w:val="333333"/>
        </w:rPr>
        <w:t>Categoria Econômica</w:t>
      </w:r>
      <w:r>
        <w:t xml:space="preserve"> </w:t>
      </w:r>
    </w:p>
    <w:p w:rsidR="00D07EDF" w:rsidRDefault="00665BB4">
      <w:pPr>
        <w:numPr>
          <w:ilvl w:val="0"/>
          <w:numId w:val="2"/>
        </w:numPr>
        <w:spacing w:after="116" w:line="259" w:lineRule="auto"/>
        <w:ind w:right="0" w:hanging="191"/>
        <w:jc w:val="left"/>
      </w:pPr>
      <w:r>
        <w:rPr>
          <w:color w:val="333333"/>
        </w:rPr>
        <w:t>– Despesas Correntes</w:t>
      </w:r>
      <w:r>
        <w:t xml:space="preserve"> </w:t>
      </w:r>
    </w:p>
    <w:p w:rsidR="00D07EDF" w:rsidRDefault="00665BB4">
      <w:pPr>
        <w:numPr>
          <w:ilvl w:val="0"/>
          <w:numId w:val="2"/>
        </w:numPr>
        <w:spacing w:after="116" w:line="259" w:lineRule="auto"/>
        <w:ind w:right="0" w:hanging="191"/>
        <w:jc w:val="left"/>
      </w:pPr>
      <w:r>
        <w:rPr>
          <w:color w:val="333333"/>
        </w:rPr>
        <w:t>– Despesas de Capital</w:t>
      </w:r>
      <w:r>
        <w:t xml:space="preserve"> </w:t>
      </w:r>
    </w:p>
    <w:p w:rsidR="00D07EDF" w:rsidRDefault="00665BB4">
      <w:pPr>
        <w:spacing w:after="97" w:line="259" w:lineRule="auto"/>
        <w:ind w:left="333" w:right="0"/>
        <w:jc w:val="left"/>
      </w:pPr>
      <w:r>
        <w:t></w:t>
      </w:r>
      <w:r>
        <w:t xml:space="preserve"> </w:t>
      </w:r>
      <w:r>
        <w:rPr>
          <w:color w:val="333333"/>
        </w:rPr>
        <w:t>Natureza da Despesa e saldo Disponível atual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 xml:space="preserve">3.3.90.30 – MATERIAL DE CONSUMO   </w:t>
      </w:r>
      <w:r>
        <w:rPr>
          <w:color w:val="333333"/>
        </w:rPr>
        <w:t xml:space="preserve">                                 R$ 192.945,71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>4.4.90.52 – EQUIPAMENTOS E MATERIAL PERMANENTE   R$ 276.849,07</w:t>
      </w:r>
      <w:r>
        <w:t xml:space="preserve"> </w:t>
      </w:r>
    </w:p>
    <w:p w:rsidR="00D07EDF" w:rsidRDefault="00665BB4">
      <w:pPr>
        <w:spacing w:after="97" w:line="259" w:lineRule="auto"/>
        <w:ind w:right="0"/>
        <w:jc w:val="left"/>
      </w:pPr>
      <w:r>
        <w:rPr>
          <w:color w:val="333333"/>
        </w:rPr>
        <w:t xml:space="preserve"> </w:t>
      </w:r>
      <w:r>
        <w:rPr>
          <w:color w:val="333333"/>
        </w:rPr>
        <w:t>Rubrica (desdobramento da Natureza da Despesa)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>Itens 01, 02, 04, 05, 06, 07, 08, 09, 10, 11, 13 e 14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>3.3.90.30.17.00.00.00 – MATERIAL DE T.I.C.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 xml:space="preserve">                Cód. Reduzido: 3988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>Item 03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>4.4.90.52.34.00.00.00 – MAQ, UTENSILIOS E EQUIP DIVERSOS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 xml:space="preserve">                Cód. Reduzido: 7344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>Item 12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 xml:space="preserve">4.4.90.52.41.00.00.00 – EQUIPAMENTOS DE T.I.C.- </w:t>
      </w:r>
      <w:r>
        <w:t xml:space="preserve"> </w:t>
      </w:r>
    </w:p>
    <w:p w:rsidR="00D07EDF" w:rsidRDefault="00665BB4">
      <w:pPr>
        <w:spacing w:after="116" w:line="259" w:lineRule="auto"/>
        <w:ind w:left="-5" w:right="0"/>
        <w:jc w:val="left"/>
      </w:pPr>
      <w:r>
        <w:rPr>
          <w:color w:val="333333"/>
        </w:rPr>
        <w:t xml:space="preserve">            </w:t>
      </w:r>
      <w:r>
        <w:rPr>
          <w:color w:val="333333"/>
        </w:rPr>
        <w:t xml:space="preserve">    Cód. Reduzido: 7346</w:t>
      </w:r>
      <w:r>
        <w:t xml:space="preserve"> </w:t>
      </w:r>
    </w:p>
    <w:p w:rsidR="00D07EDF" w:rsidRDefault="00665BB4">
      <w:pPr>
        <w:spacing w:after="164" w:line="259" w:lineRule="auto"/>
        <w:ind w:left="0" w:right="0" w:firstLine="0"/>
        <w:jc w:val="left"/>
      </w:pPr>
      <w:r>
        <w:t xml:space="preserve"> </w:t>
      </w:r>
    </w:p>
    <w:p w:rsidR="00D07EDF" w:rsidRDefault="00665BB4">
      <w:pPr>
        <w:pStyle w:val="Heading1"/>
        <w:ind w:left="374" w:right="0" w:hanging="389"/>
      </w:pPr>
      <w:r>
        <w:t>OUTRAS ESPECIFICAÇÕES E DISPOSIÇÕES GERAIS</w:t>
      </w:r>
      <w:r>
        <w:t xml:space="preserve"> </w:t>
      </w:r>
    </w:p>
    <w:p w:rsidR="00D07EDF" w:rsidRDefault="00665BB4">
      <w:pPr>
        <w:ind w:left="-5" w:right="-9"/>
      </w:pPr>
      <w:r>
        <w:t>Antes de apresentar sua proposta, a contratada deverá analisar e consultar todas as especificações, executando os levantamentos necessários, de modo a não incorrer em omissões que não p</w:t>
      </w:r>
      <w:r>
        <w:t xml:space="preserve">oderão ser alegadas para justificar acréscimos de preços, substituições indevidas, incompatibilidades técnicas ou alterações nos prazos. </w:t>
      </w:r>
    </w:p>
    <w:p w:rsidR="00D07EDF" w:rsidRDefault="00665BB4">
      <w:pPr>
        <w:ind w:left="-5" w:right="-9"/>
      </w:pPr>
      <w:r>
        <w:t>É dever da contratada verificar previamente todas as condições estabelecidas neste Termo de Referência, não sendo admi</w:t>
      </w:r>
      <w:r>
        <w:t xml:space="preserve">tida como justificativa para atrasos, inconformidades ou falhas no cumprimento do objeto qualquer alegação de desconhecimento das especificações, quantidades, prazos ou condições de entrega. </w:t>
      </w:r>
    </w:p>
    <w:p w:rsidR="00D07EDF" w:rsidRDefault="00665BB4">
      <w:pPr>
        <w:ind w:left="-5" w:right="-9"/>
      </w:pPr>
      <w:r>
        <w:t xml:space="preserve">Os casos omissos serão resolvidos pela Administração, observada </w:t>
      </w:r>
      <w:r>
        <w:t xml:space="preserve">a Lei nº 14.133/2021, os princípios da legalidade, eficiência, economicidade, interesse público e as demais normas aplicáveis à contratação pública. </w:t>
      </w:r>
    </w:p>
    <w:p w:rsidR="00D07EDF" w:rsidRDefault="00665BB4">
      <w:pPr>
        <w:spacing w:after="108" w:line="259" w:lineRule="auto"/>
        <w:ind w:left="0" w:right="0" w:firstLine="0"/>
        <w:jc w:val="left"/>
      </w:pPr>
      <w:r>
        <w:t xml:space="preserve"> </w:t>
      </w:r>
    </w:p>
    <w:p w:rsidR="00D07EDF" w:rsidRDefault="00665BB4">
      <w:pPr>
        <w:spacing w:after="108" w:line="259" w:lineRule="auto"/>
        <w:ind w:left="0" w:right="0" w:firstLine="0"/>
        <w:jc w:val="left"/>
      </w:pPr>
      <w:r>
        <w:t xml:space="preserve"> </w:t>
      </w:r>
    </w:p>
    <w:p w:rsidR="00D07EDF" w:rsidRDefault="00665BB4">
      <w:pPr>
        <w:spacing w:after="111" w:line="259" w:lineRule="auto"/>
        <w:ind w:left="0" w:right="0" w:firstLine="0"/>
        <w:jc w:val="left"/>
      </w:pPr>
      <w:r>
        <w:t xml:space="preserve"> </w:t>
      </w:r>
    </w:p>
    <w:p w:rsidR="00D07EDF" w:rsidRDefault="00665BB4">
      <w:pPr>
        <w:spacing w:after="104" w:line="259" w:lineRule="auto"/>
        <w:ind w:left="0" w:right="0" w:firstLine="0"/>
        <w:jc w:val="left"/>
      </w:pPr>
      <w:r>
        <w:t xml:space="preserve"> </w:t>
      </w:r>
    </w:p>
    <w:p w:rsidR="00D07EDF" w:rsidRDefault="00665BB4">
      <w:pPr>
        <w:spacing w:after="0" w:line="259" w:lineRule="auto"/>
        <w:ind w:left="0" w:right="2678" w:firstLine="0"/>
        <w:jc w:val="right"/>
      </w:pPr>
      <w:r>
        <w:t>CARLOS EDUARDO DOMINGUES MARTINS</w:t>
      </w:r>
      <w:r>
        <w:t xml:space="preserve"> </w:t>
      </w:r>
    </w:p>
    <w:p w:rsidR="00D07EDF" w:rsidRDefault="00665BB4">
      <w:pPr>
        <w:spacing w:after="0" w:line="259" w:lineRule="auto"/>
        <w:ind w:left="0" w:right="2754" w:firstLine="0"/>
        <w:jc w:val="right"/>
      </w:pPr>
      <w:r>
        <w:t xml:space="preserve">Presidente da Câmara Municipal de Canguçu </w:t>
      </w:r>
    </w:p>
    <w:sectPr w:rsidR="00D07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59" w:right="866" w:bottom="1573" w:left="828" w:header="881" w:footer="8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5BB4">
      <w:pPr>
        <w:spacing w:after="0" w:line="240" w:lineRule="auto"/>
      </w:pPr>
      <w:r>
        <w:separator/>
      </w:r>
    </w:p>
  </w:endnote>
  <w:endnote w:type="continuationSeparator" w:id="0">
    <w:p w:rsidR="00000000" w:rsidRDefault="0066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DF" w:rsidRDefault="00665BB4">
    <w:pPr>
      <w:spacing w:after="8" w:line="259" w:lineRule="auto"/>
      <w:ind w:left="0" w:right="0" w:firstLine="0"/>
      <w:jc w:val="left"/>
    </w:pPr>
    <w:r>
      <w:rPr>
        <w:sz w:val="21"/>
      </w:rPr>
      <w:t xml:space="preserve"> </w:t>
    </w:r>
  </w:p>
  <w:p w:rsidR="00D07EDF" w:rsidRDefault="00665BB4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41" w:right="0" w:firstLine="0"/>
      <w:jc w:val="center"/>
    </w:pPr>
    <w:r>
      <w:rPr>
        <w:sz w:val="15"/>
      </w:rPr>
      <w:t>“DOE SANGUE, DOE ÓRGÃOS, SALVE UMA VIDA!”</w:t>
    </w: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DF" w:rsidRDefault="00665BB4">
    <w:pPr>
      <w:spacing w:after="8" w:line="259" w:lineRule="auto"/>
      <w:ind w:left="0" w:right="0" w:firstLine="0"/>
      <w:jc w:val="left"/>
    </w:pPr>
    <w:r>
      <w:rPr>
        <w:sz w:val="21"/>
      </w:rPr>
      <w:t xml:space="preserve"> </w:t>
    </w:r>
  </w:p>
  <w:p w:rsidR="00D07EDF" w:rsidRDefault="00665BB4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41" w:right="0" w:firstLine="0"/>
      <w:jc w:val="center"/>
    </w:pPr>
    <w:r>
      <w:rPr>
        <w:sz w:val="15"/>
      </w:rPr>
      <w:t>“DOE SANGUE, DOE ÓRGÃOS, SALVE UMA VIDA!”</w:t>
    </w: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DF" w:rsidRDefault="00665BB4">
    <w:pPr>
      <w:spacing w:after="8" w:line="259" w:lineRule="auto"/>
      <w:ind w:left="0" w:right="0" w:firstLine="0"/>
      <w:jc w:val="left"/>
    </w:pPr>
    <w:r>
      <w:rPr>
        <w:sz w:val="21"/>
      </w:rPr>
      <w:t xml:space="preserve"> </w:t>
    </w:r>
  </w:p>
  <w:p w:rsidR="00D07EDF" w:rsidRDefault="00665BB4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41" w:right="0" w:firstLine="0"/>
      <w:jc w:val="center"/>
    </w:pPr>
    <w:r>
      <w:rPr>
        <w:sz w:val="15"/>
      </w:rPr>
      <w:t>“DOE SANGUE, DOE ÓRGÃOS, SALVE UMA VIDA!”</w:t>
    </w: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5BB4">
      <w:pPr>
        <w:spacing w:after="0" w:line="240" w:lineRule="auto"/>
      </w:pPr>
      <w:r>
        <w:separator/>
      </w:r>
    </w:p>
  </w:footnote>
  <w:footnote w:type="continuationSeparator" w:id="0">
    <w:p w:rsidR="00000000" w:rsidRDefault="0066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DF" w:rsidRDefault="00665BB4">
    <w:pPr>
      <w:spacing w:after="0" w:line="259" w:lineRule="auto"/>
      <w:ind w:left="104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3476244</wp:posOffset>
          </wp:positionH>
          <wp:positionV relativeFrom="page">
            <wp:posOffset>559310</wp:posOffset>
          </wp:positionV>
          <wp:extent cx="614172" cy="547116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172" cy="547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w:t xml:space="preserve"> </w:t>
    </w:r>
  </w:p>
  <w:p w:rsidR="00D07EDF" w:rsidRDefault="00665BB4">
    <w:pPr>
      <w:spacing w:after="0" w:line="259" w:lineRule="auto"/>
      <w:ind w:left="45" w:right="0" w:firstLine="0"/>
      <w:jc w:val="center"/>
    </w:pPr>
    <w:r>
      <w:rPr>
        <w:sz w:val="21"/>
      </w:rPr>
      <w:t>CÂMARA MUNICIPAL DE CANGUÇU</w:t>
    </w:r>
    <w:r>
      <w:rPr>
        <w:sz w:val="21"/>
      </w:rPr>
      <w:t xml:space="preserve"> </w:t>
    </w:r>
  </w:p>
  <w:p w:rsidR="00D07EDF" w:rsidRDefault="00665BB4">
    <w:pPr>
      <w:spacing w:after="0" w:line="259" w:lineRule="auto"/>
      <w:ind w:left="44" w:right="0" w:firstLine="0"/>
      <w:jc w:val="center"/>
    </w:pPr>
    <w:r>
      <w:rPr>
        <w:sz w:val="18"/>
      </w:rPr>
      <w:t>ESTADO DO RIO GRANDE DO SUL</w:t>
    </w:r>
    <w:r>
      <w:rPr>
        <w:sz w:val="2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DF" w:rsidRDefault="00665BB4">
    <w:pPr>
      <w:spacing w:after="0" w:line="259" w:lineRule="auto"/>
      <w:ind w:left="104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3476244</wp:posOffset>
          </wp:positionH>
          <wp:positionV relativeFrom="page">
            <wp:posOffset>559310</wp:posOffset>
          </wp:positionV>
          <wp:extent cx="614172" cy="54711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172" cy="547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w:t xml:space="preserve"> </w:t>
    </w:r>
  </w:p>
  <w:p w:rsidR="00D07EDF" w:rsidRDefault="00665BB4">
    <w:pPr>
      <w:spacing w:after="0" w:line="259" w:lineRule="auto"/>
      <w:ind w:left="45" w:right="0" w:firstLine="0"/>
      <w:jc w:val="center"/>
    </w:pPr>
    <w:r>
      <w:rPr>
        <w:sz w:val="21"/>
      </w:rPr>
      <w:t>CÂMARA MUNICIPAL DE CANGUÇU</w:t>
    </w:r>
    <w:r>
      <w:rPr>
        <w:sz w:val="21"/>
      </w:rPr>
      <w:t xml:space="preserve"> </w:t>
    </w:r>
  </w:p>
  <w:p w:rsidR="00D07EDF" w:rsidRDefault="00665BB4">
    <w:pPr>
      <w:spacing w:after="0" w:line="259" w:lineRule="auto"/>
      <w:ind w:left="44" w:right="0" w:firstLine="0"/>
      <w:jc w:val="center"/>
    </w:pPr>
    <w:r>
      <w:rPr>
        <w:sz w:val="18"/>
      </w:rPr>
      <w:t>ESTADO DO RIO GRANDE DO SUL</w:t>
    </w:r>
    <w:r>
      <w:rPr>
        <w:sz w:val="2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DF" w:rsidRDefault="00665BB4">
    <w:pPr>
      <w:spacing w:after="0" w:line="259" w:lineRule="auto"/>
      <w:ind w:left="104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3476244</wp:posOffset>
          </wp:positionH>
          <wp:positionV relativeFrom="page">
            <wp:posOffset>559310</wp:posOffset>
          </wp:positionV>
          <wp:extent cx="614172" cy="54711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172" cy="547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w:t xml:space="preserve"> </w:t>
    </w:r>
  </w:p>
  <w:p w:rsidR="00D07EDF" w:rsidRDefault="00665BB4">
    <w:pPr>
      <w:spacing w:after="0" w:line="259" w:lineRule="auto"/>
      <w:ind w:left="45" w:right="0" w:firstLine="0"/>
      <w:jc w:val="center"/>
    </w:pPr>
    <w:r>
      <w:rPr>
        <w:sz w:val="21"/>
      </w:rPr>
      <w:t>CÂMARA MUNICIPAL DE CANGUÇU</w:t>
    </w:r>
    <w:r>
      <w:rPr>
        <w:sz w:val="21"/>
      </w:rPr>
      <w:t xml:space="preserve"> </w:t>
    </w:r>
  </w:p>
  <w:p w:rsidR="00D07EDF" w:rsidRDefault="00665BB4">
    <w:pPr>
      <w:spacing w:after="0" w:line="259" w:lineRule="auto"/>
      <w:ind w:left="44" w:right="0" w:firstLine="0"/>
      <w:jc w:val="center"/>
    </w:pPr>
    <w:r>
      <w:rPr>
        <w:sz w:val="18"/>
      </w:rPr>
      <w:t>ESTADO DO RIO GRANDE DO SUL</w:t>
    </w:r>
    <w:r>
      <w:rPr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C0598"/>
    <w:multiLevelType w:val="hybridMultilevel"/>
    <w:tmpl w:val="8F98642A"/>
    <w:lvl w:ilvl="0" w:tplc="241A7E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00C3B0C">
      <w:start w:val="1"/>
      <w:numFmt w:val="bullet"/>
      <w:lvlRestart w:val="0"/>
      <w:lvlText w:val="•"/>
      <w:lvlJc w:val="left"/>
      <w:pPr>
        <w:ind w:left="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C898A4">
      <w:start w:val="1"/>
      <w:numFmt w:val="bullet"/>
      <w:lvlText w:val="▪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8947A28">
      <w:start w:val="1"/>
      <w:numFmt w:val="bullet"/>
      <w:lvlText w:val="•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16974E">
      <w:start w:val="1"/>
      <w:numFmt w:val="bullet"/>
      <w:lvlText w:val="o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1C4A94">
      <w:start w:val="1"/>
      <w:numFmt w:val="bullet"/>
      <w:lvlText w:val="▪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BC22E72">
      <w:start w:val="1"/>
      <w:numFmt w:val="bullet"/>
      <w:lvlText w:val="•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122B22">
      <w:start w:val="1"/>
      <w:numFmt w:val="bullet"/>
      <w:lvlText w:val="o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17ABC0A">
      <w:start w:val="1"/>
      <w:numFmt w:val="bullet"/>
      <w:lvlText w:val="▪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7116EC"/>
    <w:multiLevelType w:val="hybridMultilevel"/>
    <w:tmpl w:val="1E76050E"/>
    <w:lvl w:ilvl="0" w:tplc="3F10B03E">
      <w:start w:val="3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348E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E280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156D9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3631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D96C1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BAB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4643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9D84C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310846"/>
    <w:multiLevelType w:val="hybridMultilevel"/>
    <w:tmpl w:val="199014B4"/>
    <w:lvl w:ilvl="0" w:tplc="A3CE9990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D9EA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9727C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360C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AA800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07E30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C0AD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64D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AB0BA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DF"/>
    <w:rsid w:val="00665BB4"/>
    <w:rsid w:val="00D0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85EC6EB-A122-43AF-A0DC-058F7CE6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 w:line="256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54"/>
      <w:ind w:left="10" w:right="7" w:hanging="10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1529</Words>
  <Characters>8719</Characters>
  <Application>Microsoft Office Word</Application>
  <DocSecurity>4</DocSecurity>
  <Lines>72</Lines>
  <Paragraphs>20</Paragraphs>
  <ScaleCrop>false</ScaleCrop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 EQUIPAMENTOS INFORMATICA</dc:title>
  <dc:subject/>
  <dc:creator>Estagiário Patrimônio</dc:creator>
  <cp:keywords/>
  <cp:lastModifiedBy>word</cp:lastModifiedBy>
  <cp:revision>2</cp:revision>
  <dcterms:created xsi:type="dcterms:W3CDTF">2026-07-08T13:13:00Z</dcterms:created>
  <dcterms:modified xsi:type="dcterms:W3CDTF">2026-07-08T13:13:00Z</dcterms:modified>
</cp:coreProperties>
</file>