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AAB" w:rsidRDefault="00703662">
      <w:pPr>
        <w:spacing w:after="19" w:line="259" w:lineRule="auto"/>
        <w:ind w:left="2674" w:right="0" w:firstLine="0"/>
        <w:jc w:val="left"/>
      </w:pPr>
      <w:bookmarkStart w:id="0" w:name="_GoBack"/>
      <w:bookmarkEnd w:id="0"/>
      <w:r>
        <w:rPr>
          <w:sz w:val="32"/>
        </w:rPr>
        <w:t>TERMO DE REFERÊNCIA</w:t>
      </w:r>
    </w:p>
    <w:p w:rsidR="00DD7AAB" w:rsidRDefault="00703662">
      <w:pPr>
        <w:pStyle w:val="Heading1"/>
      </w:pPr>
      <w:r>
        <w:t xml:space="preserve">PROCESSO N </w:t>
      </w:r>
      <w:r>
        <w:rPr>
          <w:vertAlign w:val="superscript"/>
        </w:rPr>
        <w:t xml:space="preserve">O </w:t>
      </w:r>
      <w:r>
        <w:t>23/2026 - DISPENSA DE LICITAÇÃO 16/2026 1. DO OBJETO</w:t>
      </w:r>
    </w:p>
    <w:tbl>
      <w:tblPr>
        <w:tblStyle w:val="TableGrid"/>
        <w:tblpPr w:vertAnchor="page" w:horzAnchor="page" w:tblpX="3338" w:tblpY="1376"/>
        <w:tblOverlap w:val="never"/>
        <w:tblW w:w="5561" w:type="dxa"/>
        <w:tblInd w:w="0" w:type="dxa"/>
        <w:tblCellMar>
          <w:top w:w="99" w:type="dxa"/>
          <w:left w:w="199" w:type="dxa"/>
          <w:bottom w:w="0" w:type="dxa"/>
          <w:right w:w="192" w:type="dxa"/>
        </w:tblCellMar>
        <w:tblLook w:val="04A0" w:firstRow="1" w:lastRow="0" w:firstColumn="1" w:lastColumn="0" w:noHBand="0" w:noVBand="1"/>
      </w:tblPr>
      <w:tblGrid>
        <w:gridCol w:w="5561"/>
      </w:tblGrid>
      <w:tr w:rsidR="00DD7AAB">
        <w:trPr>
          <w:trHeight w:val="1082"/>
        </w:trPr>
        <w:tc>
          <w:tcPr>
            <w:tcW w:w="5561"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878" w:right="0" w:firstLine="0"/>
              <w:jc w:val="left"/>
            </w:pPr>
            <w:r>
              <w:rPr>
                <w:sz w:val="26"/>
              </w:rPr>
              <w:t>CÂMARA MUNICIPAL DE CANGUÇU</w:t>
            </w:r>
          </w:p>
          <w:p w:rsidR="00DD7AAB" w:rsidRDefault="00703662">
            <w:pPr>
              <w:spacing w:after="0" w:line="259" w:lineRule="auto"/>
              <w:ind w:left="0" w:right="0" w:firstLine="0"/>
              <w:jc w:val="center"/>
            </w:pPr>
            <w:r>
              <w:rPr>
                <w:sz w:val="26"/>
              </w:rPr>
              <w:t>ESTADO DO RIO GRANDE DO SUL</w:t>
            </w:r>
          </w:p>
          <w:p w:rsidR="00DD7AAB" w:rsidRDefault="00703662">
            <w:pPr>
              <w:spacing w:after="0" w:line="259" w:lineRule="auto"/>
              <w:ind w:left="278" w:right="0" w:hanging="278"/>
            </w:pPr>
            <w:r>
              <w:rPr>
                <w:sz w:val="20"/>
              </w:rPr>
              <w:t>Rua General Osório, 979. Centro. CEP:96600-000. Canguçu—RS Telefone: 53 3252-1528.http://camaracan ucu.rs. ov.br/</w:t>
            </w:r>
          </w:p>
        </w:tc>
      </w:tr>
    </w:tbl>
    <w:p w:rsidR="00DD7AAB" w:rsidRDefault="00703662">
      <w:pPr>
        <w:spacing w:after="34"/>
        <w:ind w:left="-1" w:right="0"/>
      </w:pPr>
      <w:r>
        <w:t>Contratação de licenças de assinatura de software como serviço (Software as a Service — SaaS), na modalidade de suíte de produtividade e cola</w:t>
      </w:r>
      <w:r>
        <w:t xml:space="preserve">boração, com aplicativos de instalação local (desktop), correspondente ao Microsoft 365 Business Standard, da Microsoft Corporation, destinada a atender às necessidades de produtividade, comunicação, armazenamento em nuvem e colaboração de até 30 (trinta) </w:t>
      </w:r>
      <w:r>
        <w:t>usuários da CÂMARA DE VEREADORES DE CANGUÇU, endo que 15 (quinze) desses usuários deverão dispor de caixa de correio eletrônico corporativo (Exchange Online) ativa, pelo período de 12 (doze) meses, prorrogável nos termos da legislação vigente. O objeto est</w:t>
      </w:r>
      <w:r>
        <w:t>á detalhado na tabela a seguir:</w:t>
      </w:r>
    </w:p>
    <w:tbl>
      <w:tblPr>
        <w:tblStyle w:val="TableGrid"/>
        <w:tblW w:w="8786" w:type="dxa"/>
        <w:tblInd w:w="75" w:type="dxa"/>
        <w:tblCellMar>
          <w:top w:w="34" w:type="dxa"/>
          <w:left w:w="11" w:type="dxa"/>
          <w:bottom w:w="0" w:type="dxa"/>
          <w:right w:w="24" w:type="dxa"/>
        </w:tblCellMar>
        <w:tblLook w:val="04A0" w:firstRow="1" w:lastRow="0" w:firstColumn="1" w:lastColumn="0" w:noHBand="0" w:noVBand="1"/>
      </w:tblPr>
      <w:tblGrid>
        <w:gridCol w:w="774"/>
        <w:gridCol w:w="4482"/>
        <w:gridCol w:w="875"/>
        <w:gridCol w:w="1307"/>
        <w:gridCol w:w="1348"/>
      </w:tblGrid>
      <w:tr w:rsidR="00DD7AAB">
        <w:trPr>
          <w:trHeight w:val="1073"/>
        </w:trPr>
        <w:tc>
          <w:tcPr>
            <w:tcW w:w="778" w:type="dxa"/>
            <w:tcBorders>
              <w:top w:val="single" w:sz="2" w:space="0" w:color="000000"/>
              <w:left w:val="single" w:sz="2" w:space="0" w:color="000000"/>
              <w:bottom w:val="single" w:sz="2" w:space="0" w:color="000000"/>
              <w:right w:val="single" w:sz="2" w:space="0" w:color="000000"/>
            </w:tcBorders>
            <w:vAlign w:val="center"/>
          </w:tcPr>
          <w:p w:rsidR="00DD7AAB" w:rsidRDefault="00703662">
            <w:pPr>
              <w:spacing w:after="0" w:line="259" w:lineRule="auto"/>
              <w:ind w:left="134" w:right="0" w:firstLine="0"/>
              <w:jc w:val="left"/>
            </w:pPr>
            <w:r>
              <w:rPr>
                <w:sz w:val="26"/>
              </w:rPr>
              <w:t>ITEM</w:t>
            </w:r>
          </w:p>
        </w:tc>
        <w:tc>
          <w:tcPr>
            <w:tcW w:w="4536" w:type="dxa"/>
            <w:tcBorders>
              <w:top w:val="single" w:sz="2" w:space="0" w:color="000000"/>
              <w:left w:val="single" w:sz="2" w:space="0" w:color="000000"/>
              <w:bottom w:val="single" w:sz="2" w:space="0" w:color="000000"/>
              <w:right w:val="single" w:sz="2" w:space="0" w:color="000000"/>
            </w:tcBorders>
            <w:vAlign w:val="center"/>
          </w:tcPr>
          <w:p w:rsidR="00DD7AAB" w:rsidRDefault="00703662">
            <w:pPr>
              <w:spacing w:after="0" w:line="259" w:lineRule="auto"/>
              <w:ind w:left="26" w:right="0" w:firstLine="0"/>
              <w:jc w:val="center"/>
            </w:pPr>
            <w:r>
              <w:rPr>
                <w:sz w:val="28"/>
              </w:rPr>
              <w:t>DESCRIÇÃO/</w:t>
            </w:r>
          </w:p>
          <w:p w:rsidR="00DD7AAB" w:rsidRDefault="00703662">
            <w:pPr>
              <w:spacing w:after="0" w:line="259" w:lineRule="auto"/>
              <w:ind w:left="21" w:right="0" w:firstLine="0"/>
              <w:jc w:val="center"/>
            </w:pPr>
            <w:r>
              <w:rPr>
                <w:sz w:val="30"/>
              </w:rPr>
              <w:t>ESPECIFICAÇÃO</w:t>
            </w:r>
          </w:p>
        </w:tc>
        <w:tc>
          <w:tcPr>
            <w:tcW w:w="813" w:type="dxa"/>
            <w:tcBorders>
              <w:top w:val="single" w:sz="2" w:space="0" w:color="000000"/>
              <w:left w:val="single" w:sz="2" w:space="0" w:color="000000"/>
              <w:bottom w:val="single" w:sz="2" w:space="0" w:color="000000"/>
              <w:right w:val="single" w:sz="2" w:space="0" w:color="000000"/>
            </w:tcBorders>
            <w:vAlign w:val="center"/>
          </w:tcPr>
          <w:p w:rsidR="00DD7AAB" w:rsidRDefault="00703662">
            <w:pPr>
              <w:spacing w:after="188" w:line="259" w:lineRule="auto"/>
              <w:ind w:left="62" w:right="0" w:firstLine="0"/>
            </w:pPr>
            <w:r>
              <w:t>Unidad</w:t>
            </w:r>
          </w:p>
          <w:p w:rsidR="00DD7AAB" w:rsidRDefault="00703662">
            <w:pPr>
              <w:spacing w:after="0" w:line="259" w:lineRule="auto"/>
              <w:ind w:left="48" w:right="0" w:firstLine="0"/>
            </w:pPr>
            <w:r>
              <w:t>Medida</w:t>
            </w:r>
          </w:p>
        </w:tc>
        <w:tc>
          <w:tcPr>
            <w:tcW w:w="1310" w:type="dxa"/>
            <w:tcBorders>
              <w:top w:val="single" w:sz="2" w:space="0" w:color="000000"/>
              <w:left w:val="single" w:sz="2" w:space="0" w:color="000000"/>
              <w:bottom w:val="single" w:sz="2" w:space="0" w:color="000000"/>
              <w:right w:val="single" w:sz="2" w:space="0" w:color="000000"/>
            </w:tcBorders>
            <w:vAlign w:val="center"/>
          </w:tcPr>
          <w:p w:rsidR="00DD7AAB" w:rsidRDefault="00703662">
            <w:pPr>
              <w:spacing w:after="0" w:line="259" w:lineRule="auto"/>
              <w:ind w:left="8" w:right="0" w:firstLine="0"/>
              <w:jc w:val="center"/>
            </w:pPr>
            <w:r>
              <w:t>Quant.</w:t>
            </w:r>
          </w:p>
        </w:tc>
        <w:tc>
          <w:tcPr>
            <w:tcW w:w="1349" w:type="dxa"/>
            <w:tcBorders>
              <w:top w:val="single" w:sz="2" w:space="0" w:color="000000"/>
              <w:left w:val="single" w:sz="2" w:space="0" w:color="000000"/>
              <w:bottom w:val="single" w:sz="2" w:space="0" w:color="000000"/>
              <w:right w:val="single" w:sz="2" w:space="0" w:color="000000"/>
            </w:tcBorders>
            <w:vAlign w:val="center"/>
          </w:tcPr>
          <w:p w:rsidR="00DD7AAB" w:rsidRDefault="00703662">
            <w:pPr>
              <w:spacing w:after="0" w:line="224" w:lineRule="auto"/>
              <w:ind w:left="29" w:right="0" w:firstLine="0"/>
              <w:jc w:val="center"/>
            </w:pPr>
            <w:r>
              <w:t>Valor estimado</w:t>
            </w:r>
          </w:p>
          <w:p w:rsidR="00DD7AAB" w:rsidRDefault="00703662">
            <w:pPr>
              <w:spacing w:after="0" w:line="259" w:lineRule="auto"/>
              <w:ind w:left="61" w:right="0" w:firstLine="0"/>
              <w:jc w:val="center"/>
            </w:pPr>
            <w:r>
              <w:rPr>
                <w:sz w:val="22"/>
              </w:rPr>
              <w:t>(total)</w:t>
            </w:r>
          </w:p>
        </w:tc>
      </w:tr>
      <w:tr w:rsidR="00DD7AAB">
        <w:trPr>
          <w:trHeight w:val="3805"/>
        </w:trPr>
        <w:tc>
          <w:tcPr>
            <w:tcW w:w="778"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0" w:right="17" w:firstLine="0"/>
              <w:jc w:val="center"/>
            </w:pPr>
            <w:r>
              <w:t>01</w:t>
            </w:r>
          </w:p>
        </w:tc>
        <w:tc>
          <w:tcPr>
            <w:tcW w:w="4536"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right="0" w:firstLine="0"/>
              <w:jc w:val="left"/>
            </w:pPr>
            <w:r>
              <w:rPr>
                <w:sz w:val="26"/>
              </w:rPr>
              <w:t>Licença de assinatura</w:t>
            </w:r>
          </w:p>
          <w:p w:rsidR="00DD7AAB" w:rsidRDefault="00703662">
            <w:pPr>
              <w:spacing w:after="0" w:line="259" w:lineRule="auto"/>
              <w:ind w:right="0" w:firstLine="0"/>
              <w:jc w:val="left"/>
            </w:pPr>
            <w:r>
              <w:rPr>
                <w:sz w:val="26"/>
              </w:rPr>
              <w:t>Microsoft 365 Business</w:t>
            </w:r>
          </w:p>
          <w:p w:rsidR="00DD7AAB" w:rsidRDefault="00703662">
            <w:pPr>
              <w:spacing w:after="0" w:line="259" w:lineRule="auto"/>
              <w:ind w:left="0" w:right="1520" w:firstLine="0"/>
            </w:pPr>
            <w:r>
              <w:t xml:space="preserve">Standard (sem Microsoft </w:t>
            </w:r>
            <w:r>
              <w:t xml:space="preserve">eams) — suíte de produtividade com aplicativos instaláveis em desktop (Word, Excel, PowerPoint, Outlook), além das versões Web/mobile, armazenamento em nuvem (OneDrive), SharePoint e demais aplicativos do plano, independentemente da existência de caixa de </w:t>
            </w:r>
            <w:r>
              <w:t>correio eletrônico associada</w:t>
            </w:r>
          </w:p>
        </w:tc>
        <w:tc>
          <w:tcPr>
            <w:tcW w:w="813"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29" w:right="0" w:firstLine="0"/>
            </w:pPr>
            <w:r>
              <w:rPr>
                <w:sz w:val="26"/>
              </w:rPr>
              <w:t>Licença</w:t>
            </w:r>
          </w:p>
          <w:p w:rsidR="00DD7AAB" w:rsidRDefault="00703662">
            <w:pPr>
              <w:spacing w:after="193" w:line="259" w:lineRule="auto"/>
              <w:ind w:left="0" w:right="0" w:firstLine="0"/>
            </w:pPr>
            <w:r>
              <w:t>/usuário</w:t>
            </w:r>
          </w:p>
          <w:p w:rsidR="00DD7AAB" w:rsidRDefault="00703662">
            <w:pPr>
              <w:spacing w:after="0" w:line="259" w:lineRule="auto"/>
              <w:ind w:left="202" w:right="0" w:firstLine="0"/>
              <w:jc w:val="left"/>
            </w:pPr>
            <w:r>
              <w:rPr>
                <w:sz w:val="26"/>
              </w:rPr>
              <w:t>mês</w:t>
            </w:r>
          </w:p>
        </w:tc>
        <w:tc>
          <w:tcPr>
            <w:tcW w:w="1310"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106" w:right="67" w:hanging="21"/>
              <w:jc w:val="center"/>
            </w:pPr>
            <w:r>
              <w:t xml:space="preserve">30 usuários x 12 </w:t>
            </w:r>
            <w:r>
              <w:t>meses</w:t>
            </w:r>
          </w:p>
        </w:tc>
        <w:tc>
          <w:tcPr>
            <w:tcW w:w="1349"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104" w:right="0" w:firstLine="0"/>
              <w:jc w:val="left"/>
            </w:pPr>
            <w:r>
              <w:rPr>
                <w:sz w:val="22"/>
              </w:rPr>
              <w:t>R$35.950,OO</w:t>
            </w:r>
          </w:p>
        </w:tc>
      </w:tr>
      <w:tr w:rsidR="00DD7AAB">
        <w:trPr>
          <w:trHeight w:val="2033"/>
        </w:trPr>
        <w:tc>
          <w:tcPr>
            <w:tcW w:w="778"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11" w:right="0" w:firstLine="0"/>
              <w:jc w:val="center"/>
            </w:pPr>
            <w:r>
              <w:t>02</w:t>
            </w:r>
          </w:p>
        </w:tc>
        <w:tc>
          <w:tcPr>
            <w:tcW w:w="4536"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0" w:right="1592" w:firstLine="144"/>
            </w:pPr>
            <w:r>
              <w:t>tivação de caixa de correio eletrônico corporativo (Exchange Online), com domínio próprio da instituição, calendário e contatos integrados, vinculada a licenças do item 01</w:t>
            </w:r>
          </w:p>
        </w:tc>
        <w:tc>
          <w:tcPr>
            <w:tcW w:w="813"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24" w:right="0" w:firstLine="130"/>
              <w:jc w:val="left"/>
            </w:pPr>
            <w:r>
              <w:t>Caixa postal/u suário/ mês</w:t>
            </w:r>
          </w:p>
        </w:tc>
        <w:tc>
          <w:tcPr>
            <w:tcW w:w="1310"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334" w:right="67" w:hanging="235"/>
            </w:pPr>
            <w:r>
              <w:t xml:space="preserve">15 usuários x 12 </w:t>
            </w:r>
            <w:r>
              <w:t>meses</w:t>
            </w:r>
          </w:p>
        </w:tc>
        <w:tc>
          <w:tcPr>
            <w:tcW w:w="1349"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17" w:right="0" w:firstLine="0"/>
              <w:jc w:val="center"/>
            </w:pPr>
            <w:r>
              <w:rPr>
                <w:sz w:val="22"/>
              </w:rPr>
              <w:t>R$6.935,OO</w:t>
            </w:r>
          </w:p>
        </w:tc>
      </w:tr>
    </w:tbl>
    <w:p w:rsidR="00DD7AAB" w:rsidRDefault="00703662">
      <w:pPr>
        <w:ind w:left="-1" w:right="0"/>
      </w:pPr>
      <w:r>
        <w:t xml:space="preserve">Nota 1: Todos os 30 (trinta) usuários licenciados terão acesso integral aos aplicativos de produtividade (Word, Excel, PowerPoint, OneNote), ao armazenamento em nuvem </w:t>
      </w:r>
      <w:r>
        <w:lastRenderedPageBreak/>
        <w:t>(OneDrive), ao SharePoint e aos demais recursos do plano contratado, exceto o Microsoft T</w:t>
      </w:r>
      <w:r>
        <w:t xml:space="preserve">eams, que não integra o objeto desta contratação. Dentre esses 30 usuários, 15 (quinze) </w:t>
      </w:r>
      <w:r>
        <w:rPr>
          <w:noProof/>
        </w:rPr>
        <w:drawing>
          <wp:inline distT="0" distB="0" distL="0" distR="0">
            <wp:extent cx="140208" cy="9147"/>
            <wp:effectExtent l="0" t="0" r="0" b="0"/>
            <wp:docPr id="21053" name="Picture 21053"/>
            <wp:cNvGraphicFramePr/>
            <a:graphic xmlns:a="http://schemas.openxmlformats.org/drawingml/2006/main">
              <a:graphicData uri="http://schemas.openxmlformats.org/drawingml/2006/picture">
                <pic:pic xmlns:pic="http://schemas.openxmlformats.org/drawingml/2006/picture">
                  <pic:nvPicPr>
                    <pic:cNvPr id="21053" name="Picture 21053"/>
                    <pic:cNvPicPr/>
                  </pic:nvPicPr>
                  <pic:blipFill>
                    <a:blip r:embed="rId7"/>
                    <a:stretch>
                      <a:fillRect/>
                    </a:stretch>
                  </pic:blipFill>
                  <pic:spPr>
                    <a:xfrm>
                      <a:off x="0" y="0"/>
                      <a:ext cx="140208" cy="9147"/>
                    </a:xfrm>
                    <a:prstGeom prst="rect">
                      <a:avLst/>
                    </a:prstGeom>
                  </pic:spPr>
                </pic:pic>
              </a:graphicData>
            </a:graphic>
          </wp:inline>
        </w:drawing>
      </w:r>
      <w:r>
        <w:t>a serem indicados pela Administração conforme a necessidade funcional de cada cargo/setor terão adicionalmente caixa de correio eletrônico corporativo (e-mail instituc</w:t>
      </w:r>
      <w:r>
        <w:t>ional) ativa, enquanto os quinze usuanos restantes utl Izarão a suíte de produtividade sem conta de e-mail dedicada.</w:t>
      </w:r>
    </w:p>
    <w:p w:rsidR="00DD7AAB" w:rsidRDefault="00703662">
      <w:pPr>
        <w:ind w:left="-1" w:right="0"/>
      </w:pPr>
      <w:r>
        <w:t xml:space="preserve">Nota 2: A divisão entre licenças com e sem correio eletrônico é tecnicamente viável dentro do mesmo plano Microsoft 365 Business Standard, </w:t>
      </w:r>
      <w:r>
        <w:t>bastando à Administração, por meio do portal de administração da plataforma, atribuir ou não a caixa postal a cada usuário licenciado, não havendo, portanto, necessidade de planos distintos para os dois grupos de usuários.</w:t>
      </w:r>
    </w:p>
    <w:p w:rsidR="00DD7AAB" w:rsidRDefault="00703662">
      <w:pPr>
        <w:ind w:left="-1" w:right="0"/>
      </w:pPr>
      <w:r>
        <w:t>Nota 3: a lista nominal dos 15 (q</w:t>
      </w:r>
      <w:r>
        <w:t>uinze) usuários que farão jus à caixa de correio eletrônico deverá ser fornecida pela Administração à CONTRATADA por ocasião da implantação, podendo ser alterada ao longo da vigência contratual, respeitado o quantitativo total contratado, mediante substitu</w:t>
      </w:r>
      <w:r>
        <w:t>ição de usuário (desativação de uma caixa postal e ativação de outra), sem custo adicional.</w:t>
      </w:r>
    </w:p>
    <w:p w:rsidR="00DD7AAB" w:rsidRDefault="00703662">
      <w:pPr>
        <w:spacing w:after="176"/>
        <w:ind w:left="-1" w:right="0"/>
      </w:pPr>
      <w:r>
        <w:t>Nota 4: a quantidade de licenças e de caixas de e-mail deverá ser revista periodicamente conforme o efetivo de servidores, empregados públicos e colaboradores do ór</w:t>
      </w:r>
      <w:r>
        <w:t>gão, observando-se a possibilidade de aquisição por Sistema de Registro de Preços para atender a variações de demanda ao longo da vigência contratual.</w:t>
      </w:r>
    </w:p>
    <w:p w:rsidR="00DD7AAB" w:rsidRDefault="00703662">
      <w:pPr>
        <w:pStyle w:val="Heading2"/>
        <w:ind w:left="9"/>
      </w:pPr>
      <w:r>
        <w:t>2. FUNDAMENTOS DA CONTRATAÇÃO</w:t>
      </w:r>
    </w:p>
    <w:tbl>
      <w:tblPr>
        <w:tblStyle w:val="TableGrid"/>
        <w:tblpPr w:vertAnchor="page" w:horzAnchor="page" w:tblpX="3338" w:tblpY="1376"/>
        <w:tblOverlap w:val="never"/>
        <w:tblW w:w="5561" w:type="dxa"/>
        <w:tblInd w:w="0" w:type="dxa"/>
        <w:tblCellMar>
          <w:top w:w="95" w:type="dxa"/>
          <w:left w:w="199" w:type="dxa"/>
          <w:bottom w:w="0" w:type="dxa"/>
          <w:right w:w="192" w:type="dxa"/>
        </w:tblCellMar>
        <w:tblLook w:val="04A0" w:firstRow="1" w:lastRow="0" w:firstColumn="1" w:lastColumn="0" w:noHBand="0" w:noVBand="1"/>
      </w:tblPr>
      <w:tblGrid>
        <w:gridCol w:w="5561"/>
      </w:tblGrid>
      <w:tr w:rsidR="00DD7AAB">
        <w:trPr>
          <w:trHeight w:val="1082"/>
        </w:trPr>
        <w:tc>
          <w:tcPr>
            <w:tcW w:w="5561"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878" w:right="0" w:firstLine="0"/>
              <w:jc w:val="left"/>
            </w:pPr>
            <w:r>
              <w:rPr>
                <w:sz w:val="26"/>
              </w:rPr>
              <w:t>CÂMARA MUNICIPAL DE CANGUÇU</w:t>
            </w:r>
          </w:p>
          <w:p w:rsidR="00DD7AAB" w:rsidRDefault="00703662">
            <w:pPr>
              <w:spacing w:after="0" w:line="259" w:lineRule="auto"/>
              <w:ind w:left="0" w:right="0" w:firstLine="0"/>
              <w:jc w:val="center"/>
            </w:pPr>
            <w:r>
              <w:rPr>
                <w:sz w:val="26"/>
              </w:rPr>
              <w:t>ESTADO DO RIO GRANDE DO SUL</w:t>
            </w:r>
          </w:p>
          <w:p w:rsidR="00DD7AAB" w:rsidRDefault="00703662">
            <w:pPr>
              <w:spacing w:after="0" w:line="259" w:lineRule="auto"/>
              <w:ind w:left="278" w:right="0" w:hanging="278"/>
            </w:pPr>
            <w:r>
              <w:rPr>
                <w:sz w:val="20"/>
              </w:rPr>
              <w:t>Rua General Osório, 979. Centro. CEP:96600-000. Canguçu—RS Telefone: 53 3252-1528.http://camaracan ucu.rs. ov.br/</w:t>
            </w:r>
          </w:p>
        </w:tc>
      </w:tr>
    </w:tbl>
    <w:p w:rsidR="00DD7AAB" w:rsidRDefault="00703662">
      <w:pPr>
        <w:spacing w:after="185"/>
        <w:ind w:left="-1" w:right="0"/>
      </w:pPr>
      <w:r>
        <w:t xml:space="preserve">A O dimensionamento de 30 (trinta) licenças da suíte de produtividade, com apenas 15 (trinta) delas associadas a caixa de correio eletrônico </w:t>
      </w:r>
      <w:r>
        <w:t xml:space="preserve">corporativo, decorre do levantamento de necessidades realizado junto às unidades administrativas do órgão, do qual se constatou que nem todos os colaboradores necessitam de conta de e-mail institucional individual para o desempenho de suas atribuições, ao </w:t>
      </w:r>
      <w:r>
        <w:t>passo que todos se beneficiam do acesso aos aplicativos de produtividade, ao armazenamento em nuvem e às ferramentas de colaboração em equipe. Esse dimensionamento diferenciado promove a economicidade da contratação, uma vez que evita a aquisição de recurs</w:t>
      </w:r>
      <w:r>
        <w:t>os (caixas postais) não efetivamente necessários para a totalidade dos usuários, sem prejuízo do acesso pleno de todos os 30 (trinta) usuários às demais funcionalidades da suíte.</w:t>
      </w:r>
    </w:p>
    <w:p w:rsidR="00DD7AAB" w:rsidRDefault="00703662">
      <w:pPr>
        <w:spacing w:after="246"/>
        <w:ind w:left="-1" w:right="0"/>
      </w:pPr>
      <w:r>
        <w:t>A escolha do padrão Microsoft 365 justifica-se pela ampla adoção da suíte no mercado corporativo e no setor público brasileiro, pela interoperabilidade com formatos de arquivo amplamente utilizados (.docx, .xlsx, .pptx), pela disponibilidade de suporte téc</w:t>
      </w:r>
      <w:r>
        <w:t>nico continuado do fabricante, pela conformidade com padrões de segurança da informação e proteção de dados (LGPD — Lei n</w:t>
      </w:r>
      <w:r>
        <w:rPr>
          <w:vertAlign w:val="superscript"/>
        </w:rPr>
        <w:t xml:space="preserve">o </w:t>
      </w:r>
      <w:r>
        <w:t>13.709/2018), e pela escalabilidade do modelo de licenciamento por assinatura, que permite ajuste do número de licenças conforme a ne</w:t>
      </w:r>
      <w:r>
        <w:t>cessidade do órgão, sem investimento inicial em infraestrutura local (servidores de email, backup, etc.).</w:t>
      </w:r>
    </w:p>
    <w:p w:rsidR="00DD7AAB" w:rsidRDefault="00703662">
      <w:pPr>
        <w:spacing w:after="453"/>
        <w:ind w:left="-1" w:right="0"/>
      </w:pPr>
      <w:r>
        <w:t>Optou-se pela contratação em dois itens (licença de suíte de produtividade e ativação de caixa de correio eletrônico), tendo em vista que ambos os rec</w:t>
      </w:r>
      <w:r>
        <w:t>ursos são tecnicamente vinculados — a caixa postal somente é disponibilizada a usuário previamente licenciado no item 01 mas correspondem a necessidades distintas, permitindo maior precisão na estimativa de custos e na fiscalização contratual. Não será adm</w:t>
      </w:r>
      <w:r>
        <w:t>itida a divisão em lotes distintos, tampouco a contratação de fornecedores diferentes para os dois itens, por se tratar de solução técnica integrada e indivisível.</w:t>
      </w:r>
    </w:p>
    <w:p w:rsidR="00DD7AAB" w:rsidRDefault="00703662">
      <w:pPr>
        <w:spacing w:after="37" w:line="225" w:lineRule="auto"/>
        <w:ind w:left="5" w:right="0" w:hanging="5"/>
      </w:pPr>
      <w:r>
        <w:rPr>
          <w:sz w:val="26"/>
        </w:rPr>
        <w:t>A contratação será realizada por meio de Dispensa de Licitação, nos termos do art. 75,</w:t>
      </w:r>
    </w:p>
    <w:tbl>
      <w:tblPr>
        <w:tblStyle w:val="TableGrid"/>
        <w:tblpPr w:vertAnchor="text" w:tblpX="1639" w:tblpY="-1083"/>
        <w:tblOverlap w:val="never"/>
        <w:tblW w:w="5561" w:type="dxa"/>
        <w:tblInd w:w="0" w:type="dxa"/>
        <w:tblCellMar>
          <w:top w:w="2" w:type="dxa"/>
          <w:left w:w="190" w:type="dxa"/>
          <w:bottom w:w="0" w:type="dxa"/>
          <w:right w:w="164" w:type="dxa"/>
        </w:tblCellMar>
        <w:tblLook w:val="04A0" w:firstRow="1" w:lastRow="0" w:firstColumn="1" w:lastColumn="0" w:noHBand="0" w:noVBand="1"/>
      </w:tblPr>
      <w:tblGrid>
        <w:gridCol w:w="418"/>
        <w:gridCol w:w="970"/>
        <w:gridCol w:w="4174"/>
      </w:tblGrid>
      <w:tr w:rsidR="00DD7AAB">
        <w:trPr>
          <w:trHeight w:val="1082"/>
        </w:trPr>
        <w:tc>
          <w:tcPr>
            <w:tcW w:w="5561" w:type="dxa"/>
            <w:gridSpan w:val="3"/>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888" w:right="0" w:firstLine="0"/>
              <w:jc w:val="left"/>
            </w:pPr>
            <w:r>
              <w:rPr>
                <w:sz w:val="26"/>
              </w:rPr>
              <w:t>CÂMARA MUNICIPAL DE CANGUÇU</w:t>
            </w:r>
          </w:p>
          <w:p w:rsidR="00DD7AAB" w:rsidRDefault="00703662">
            <w:pPr>
              <w:spacing w:after="0" w:line="259" w:lineRule="auto"/>
              <w:ind w:left="0" w:right="18" w:firstLine="0"/>
              <w:jc w:val="center"/>
            </w:pPr>
            <w:r>
              <w:rPr>
                <w:sz w:val="26"/>
              </w:rPr>
              <w:t>ESTADO DO RIO GRANDE DO SUL</w:t>
            </w:r>
          </w:p>
          <w:p w:rsidR="00DD7AAB" w:rsidRDefault="00703662">
            <w:pPr>
              <w:spacing w:after="0" w:line="259" w:lineRule="auto"/>
              <w:ind w:left="288" w:right="0" w:hanging="278"/>
            </w:pPr>
            <w:r>
              <w:rPr>
                <w:sz w:val="20"/>
              </w:rPr>
              <w:t>Rua General Osório, 979. Centro. CEP:96600-000. Canguçu—RS Telefone: 53 3252-1528.http://camaracan ucu.rs. ov.br/</w:t>
            </w:r>
          </w:p>
        </w:tc>
      </w:tr>
      <w:tr w:rsidR="00DD7AAB">
        <w:trPr>
          <w:trHeight w:val="168"/>
        </w:trPr>
        <w:tc>
          <w:tcPr>
            <w:tcW w:w="418" w:type="dxa"/>
            <w:tcBorders>
              <w:top w:val="single" w:sz="2" w:space="0" w:color="000000"/>
              <w:left w:val="nil"/>
              <w:bottom w:val="nil"/>
              <w:right w:val="single" w:sz="2" w:space="0" w:color="000000"/>
            </w:tcBorders>
            <w:vAlign w:val="bottom"/>
          </w:tcPr>
          <w:p w:rsidR="00DD7AAB" w:rsidRDefault="00DD7AAB">
            <w:pPr>
              <w:spacing w:after="160" w:line="259" w:lineRule="auto"/>
              <w:ind w:left="0" w:right="0" w:firstLine="0"/>
              <w:jc w:val="left"/>
            </w:pPr>
          </w:p>
        </w:tc>
        <w:tc>
          <w:tcPr>
            <w:tcW w:w="970" w:type="dxa"/>
            <w:tcBorders>
              <w:top w:val="single" w:sz="2" w:space="0" w:color="000000"/>
              <w:left w:val="single" w:sz="2" w:space="0" w:color="000000"/>
              <w:bottom w:val="nil"/>
              <w:right w:val="single" w:sz="2" w:space="0" w:color="000000"/>
            </w:tcBorders>
          </w:tcPr>
          <w:p w:rsidR="00DD7AAB" w:rsidRDefault="00DD7AAB">
            <w:pPr>
              <w:spacing w:after="160" w:line="259" w:lineRule="auto"/>
              <w:ind w:left="0" w:right="0" w:firstLine="0"/>
              <w:jc w:val="left"/>
            </w:pPr>
          </w:p>
        </w:tc>
        <w:tc>
          <w:tcPr>
            <w:tcW w:w="4174" w:type="dxa"/>
            <w:tcBorders>
              <w:top w:val="single" w:sz="2" w:space="0" w:color="000000"/>
              <w:left w:val="single" w:sz="2" w:space="0" w:color="000000"/>
              <w:bottom w:val="nil"/>
              <w:right w:val="nil"/>
            </w:tcBorders>
          </w:tcPr>
          <w:p w:rsidR="00DD7AAB" w:rsidRDefault="00703662">
            <w:pPr>
              <w:spacing w:after="0" w:line="259" w:lineRule="auto"/>
              <w:ind w:left="0" w:right="105" w:firstLine="0"/>
              <w:jc w:val="center"/>
            </w:pPr>
            <w:r>
              <w:t xml:space="preserve">consi eran o o va or estima o entro </w:t>
            </w:r>
          </w:p>
        </w:tc>
      </w:tr>
    </w:tbl>
    <w:p w:rsidR="00DD7AAB" w:rsidRDefault="00703662">
      <w:pPr>
        <w:spacing w:after="167"/>
        <w:ind w:left="-1" w:right="0"/>
      </w:pPr>
      <w:r>
        <w:t>inciso II, da Lei nos limites legais e a necessidade de garantir a regularidade e segurança das instalações.</w:t>
      </w:r>
    </w:p>
    <w:p w:rsidR="00DD7AAB" w:rsidRDefault="00703662">
      <w:pPr>
        <w:pStyle w:val="Heading1"/>
        <w:ind w:left="14"/>
      </w:pPr>
      <w:r>
        <w:t>3. DESCRIÇÃO DA SOLUÇÃO COMO UM TODO</w:t>
      </w:r>
    </w:p>
    <w:p w:rsidR="00DD7AAB" w:rsidRDefault="00703662">
      <w:pPr>
        <w:spacing w:after="238"/>
        <w:ind w:left="-1" w:right="139"/>
      </w:pPr>
      <w:r>
        <w:t>A contratada deverá disponibilizar as credenciais de acesso ao portal de administração da plataforma para o gestor técnico designado pela Administração.</w:t>
      </w:r>
    </w:p>
    <w:p w:rsidR="00DD7AAB" w:rsidRDefault="00703662">
      <w:pPr>
        <w:spacing w:after="240"/>
        <w:ind w:left="-1" w:right="792" w:firstLine="58"/>
      </w:pPr>
      <w:r>
        <w:t>A ativação das licenças deverá ocorrer de forma gradual ou integral, conforme cronograma definido em co</w:t>
      </w:r>
      <w:r>
        <w:t>njunto com a área de Tecnologia da Informação do órgão. Termo de Referência — Microsoft 365 Business Standard.</w:t>
      </w:r>
    </w:p>
    <w:p w:rsidR="00DD7AAB" w:rsidRDefault="00703662">
      <w:pPr>
        <w:spacing w:after="219"/>
        <w:ind w:left="-1" w:right="427"/>
      </w:pPr>
      <w:r>
        <w:t>Eventuais incidentes de indisponibilidade do serviço deverão ser comunicados pela contratada à Administração, bem como tratados junto ao fabrican</w:t>
      </w:r>
      <w:r>
        <w:t>te, dentro dos prazos de atendimento acordados.</w:t>
      </w:r>
    </w:p>
    <w:p w:rsidR="00DD7AAB" w:rsidRDefault="00703662">
      <w:pPr>
        <w:spacing w:after="183"/>
        <w:ind w:left="-1" w:right="173"/>
      </w:pPr>
      <w:r>
        <w:t>O contrato terá vigência de 12 (doze) meses, contados a partir da data de sua assinatura, podendo ser prorrogado por iguais e sucessivos períodos, até o limite legal, nos termos do art. 106 e seguintes da Lei</w:t>
      </w:r>
      <w:r>
        <w:t xml:space="preserve"> n </w:t>
      </w:r>
      <w:r>
        <w:rPr>
          <w:vertAlign w:val="superscript"/>
        </w:rPr>
        <w:t xml:space="preserve">o </w:t>
      </w:r>
      <w:r>
        <w:t>14.133/2021, mediante comprovação de vantajosidade para a Administração.</w:t>
      </w:r>
    </w:p>
    <w:p w:rsidR="00DD7AAB" w:rsidRDefault="00703662">
      <w:pPr>
        <w:pStyle w:val="Heading2"/>
        <w:ind w:left="9"/>
      </w:pPr>
      <w:r>
        <w:t>4. REQUISITOS DA CONTRATAÇÃO</w:t>
      </w:r>
    </w:p>
    <w:p w:rsidR="00DD7AAB" w:rsidRDefault="00703662">
      <w:pPr>
        <w:spacing w:line="225" w:lineRule="auto"/>
        <w:ind w:left="72" w:right="451" w:hanging="5"/>
      </w:pPr>
      <w:r>
        <w:rPr>
          <w:sz w:val="26"/>
        </w:rPr>
        <w:t>A contratada deverá prestar o serviço em total conformidade com as especificações estabelecidas neste Termo de Referência e nos Anexos da Dispensa de</w:t>
      </w:r>
      <w:r>
        <w:rPr>
          <w:sz w:val="26"/>
        </w:rPr>
        <w:t xml:space="preserve"> Licitação n </w:t>
      </w:r>
      <w:r>
        <w:rPr>
          <w:sz w:val="26"/>
          <w:vertAlign w:val="superscript"/>
        </w:rPr>
        <w:t xml:space="preserve">o </w:t>
      </w:r>
      <w:r>
        <w:rPr>
          <w:sz w:val="26"/>
        </w:rPr>
        <w:t xml:space="preserve">016/2026 - Processo n </w:t>
      </w:r>
      <w:r>
        <w:rPr>
          <w:sz w:val="26"/>
          <w:vertAlign w:val="superscript"/>
        </w:rPr>
        <w:t xml:space="preserve">O </w:t>
      </w:r>
      <w:r>
        <w:rPr>
          <w:sz w:val="26"/>
        </w:rPr>
        <w:t>023/2026 da Câmara Municipal de Canguçu.</w:t>
      </w:r>
    </w:p>
    <w:p w:rsidR="00DD7AAB" w:rsidRDefault="00703662">
      <w:pPr>
        <w:ind w:left="-1" w:right="686" w:firstLine="77"/>
      </w:pPr>
      <w:r>
        <w:t>1 . A contratada deverá comprovar que é revenda autorizada, distribuidora ou parceira oficial do fabricante da solução ofertada, ou o próprio fabricante, mediante documento com</w:t>
      </w:r>
      <w:r>
        <w:t>probatório emitido pelo fabricante ou consulta ao portal oficial de parceiros.</w:t>
      </w:r>
    </w:p>
    <w:p w:rsidR="00DD7AAB" w:rsidRDefault="00703662">
      <w:pPr>
        <w:numPr>
          <w:ilvl w:val="0"/>
          <w:numId w:val="1"/>
        </w:numPr>
        <w:ind w:right="86"/>
      </w:pPr>
      <w:r>
        <w:t xml:space="preserve">A solução ofertada deverá ser fornecida em regime de licenciamento por </w:t>
      </w:r>
      <w:r>
        <w:t>assinatura</w:t>
      </w:r>
    </w:p>
    <w:p w:rsidR="00DD7AAB" w:rsidRDefault="00703662">
      <w:pPr>
        <w:ind w:left="-1" w:right="0"/>
      </w:pPr>
      <w:r>
        <w:t>(SaaS), sem necessidade de instalação de servidores locais dedicados ao serviço contratado.</w:t>
      </w:r>
    </w:p>
    <w:p w:rsidR="00DD7AAB" w:rsidRDefault="00703662">
      <w:pPr>
        <w:numPr>
          <w:ilvl w:val="0"/>
          <w:numId w:val="1"/>
        </w:numPr>
        <w:ind w:right="86"/>
      </w:pPr>
      <w:r>
        <w:t>A c</w:t>
      </w:r>
      <w:r>
        <w:t>ontratada deverá disponibilizar as 30 (trinta) licenças, com a correta ativação das 15 (quinze) caixas de correio eletrônico indicadas pela Administração, em até 7 dias corridos, contados da assinatura do contrato/emissão da ordem de fornecimento. 4. Quand</w:t>
      </w:r>
      <w:r>
        <w:t>o aplicável, a contratada deverá realizar a migração assistida dos dados de e-mail e arquivos já existentes na instituição para a nova plataforma, quando aplicável, sem custo adicional.</w:t>
      </w:r>
    </w:p>
    <w:p w:rsidR="00DD7AAB" w:rsidRDefault="00703662">
      <w:pPr>
        <w:spacing w:after="204"/>
        <w:ind w:left="-1" w:right="0"/>
      </w:pPr>
      <w:r>
        <w:t>5. Deverá ser assegurada a portabilidade dos dados ao término do contr</w:t>
      </w:r>
      <w:r>
        <w:t>ato, com fornecimento de mecanismo de exportação de e-mails, arquivos e demais dados armazenados na plataforma, em formato aberto ou compatível, sem custo adicional. 6. A CONTRATADA deverá permitir, sem custo adicional e sem necessidade de aditivo contratu</w:t>
      </w:r>
      <w:r>
        <w:t>al, a realocação das caixas postais entre os usuários, conforme a necessidade da CONTRATANTE, respeitado o limite máximo de 15 (quinze) caixas postais ativas simultaneamente, dentre as 30 (trinta) licenças contratadas.</w:t>
      </w:r>
    </w:p>
    <w:p w:rsidR="00DD7AAB" w:rsidRDefault="00703662">
      <w:pPr>
        <w:pStyle w:val="Heading2"/>
        <w:ind w:left="9"/>
      </w:pPr>
      <w:r>
        <w:t>5. CRITÉRIOS DE PAGAMENTO</w:t>
      </w:r>
    </w:p>
    <w:p w:rsidR="00DD7AAB" w:rsidRDefault="00703662">
      <w:pPr>
        <w:spacing w:after="277" w:line="225" w:lineRule="auto"/>
        <w:ind w:left="72" w:right="0" w:hanging="5"/>
      </w:pPr>
      <w:r>
        <w:rPr>
          <w:sz w:val="26"/>
        </w:rPr>
        <w:t>O pagamento sera rea Iza o me lante apresentação e nota Isca pe a contratada, no prazo de até 05 (cinco) dias utéis após sua emissão.</w:t>
      </w:r>
    </w:p>
    <w:p w:rsidR="00DD7AAB" w:rsidRDefault="00703662">
      <w:pPr>
        <w:pStyle w:val="Heading2"/>
        <w:ind w:left="9"/>
      </w:pPr>
      <w:r>
        <w:t>6. OBRIGAÇÕES DA CONTRATANTE</w:t>
      </w:r>
    </w:p>
    <w:p w:rsidR="00DD7AAB" w:rsidRDefault="00703662">
      <w:pPr>
        <w:spacing w:after="26"/>
        <w:ind w:left="91" w:right="0"/>
      </w:pPr>
      <w:r>
        <w:t>Efetuar o pagamento devido à CONTRATADA, conforme definido neste Termo de Referência.</w:t>
      </w:r>
    </w:p>
    <w:p w:rsidR="00DD7AAB" w:rsidRDefault="00703662">
      <w:pPr>
        <w:spacing w:line="225" w:lineRule="auto"/>
        <w:ind w:left="72" w:right="0" w:hanging="5"/>
      </w:pPr>
      <w:r>
        <w:rPr>
          <w:sz w:val="26"/>
        </w:rPr>
        <w:t>Garanti</w:t>
      </w:r>
      <w:r>
        <w:rPr>
          <w:sz w:val="26"/>
        </w:rPr>
        <w:t>r condições adequadas para a execução dos serviços, permitindo acesso aos equipamentos necessários.</w:t>
      </w:r>
    </w:p>
    <w:p w:rsidR="00DD7AAB" w:rsidRDefault="00703662">
      <w:pPr>
        <w:ind w:left="77" w:right="0"/>
      </w:pPr>
      <w:r>
        <w:t>Adotar providências caso os serviços não atendam às especificações pactuadas, aplicando sanções quando cabível.</w:t>
      </w:r>
    </w:p>
    <w:p w:rsidR="00DD7AAB" w:rsidRDefault="00703662">
      <w:pPr>
        <w:spacing w:after="475"/>
        <w:ind w:left="82" w:right="0"/>
      </w:pPr>
      <w:r>
        <w:t>Designar servidor pertencente ao quadro para</w:t>
      </w:r>
      <w:r>
        <w:t xml:space="preserve"> acompanhar e fiscalizar a execução, garantindo a conformidade com o pactuado.</w:t>
      </w:r>
    </w:p>
    <w:p w:rsidR="00DD7AAB" w:rsidRDefault="00703662">
      <w:pPr>
        <w:pStyle w:val="Heading2"/>
        <w:ind w:left="9"/>
      </w:pPr>
      <w:r>
        <w:t>7. OBRIGAÇÕES DA CONTRATADA</w:t>
      </w:r>
    </w:p>
    <w:tbl>
      <w:tblPr>
        <w:tblStyle w:val="TableGrid"/>
        <w:tblpPr w:vertAnchor="page" w:horzAnchor="page" w:tblpX="3338" w:tblpY="1376"/>
        <w:tblOverlap w:val="never"/>
        <w:tblW w:w="5561" w:type="dxa"/>
        <w:tblInd w:w="0" w:type="dxa"/>
        <w:tblCellMar>
          <w:top w:w="95" w:type="dxa"/>
          <w:left w:w="199" w:type="dxa"/>
          <w:bottom w:w="0" w:type="dxa"/>
          <w:right w:w="192" w:type="dxa"/>
        </w:tblCellMar>
        <w:tblLook w:val="04A0" w:firstRow="1" w:lastRow="0" w:firstColumn="1" w:lastColumn="0" w:noHBand="0" w:noVBand="1"/>
      </w:tblPr>
      <w:tblGrid>
        <w:gridCol w:w="5561"/>
      </w:tblGrid>
      <w:tr w:rsidR="00DD7AAB">
        <w:trPr>
          <w:trHeight w:val="1082"/>
        </w:trPr>
        <w:tc>
          <w:tcPr>
            <w:tcW w:w="5561" w:type="dxa"/>
            <w:tcBorders>
              <w:top w:val="single" w:sz="2" w:space="0" w:color="000000"/>
              <w:left w:val="single" w:sz="2" w:space="0" w:color="000000"/>
              <w:bottom w:val="single" w:sz="2" w:space="0" w:color="000000"/>
              <w:right w:val="single" w:sz="2" w:space="0" w:color="000000"/>
            </w:tcBorders>
          </w:tcPr>
          <w:p w:rsidR="00DD7AAB" w:rsidRDefault="00703662">
            <w:pPr>
              <w:spacing w:after="0" w:line="259" w:lineRule="auto"/>
              <w:ind w:left="878" w:right="0" w:firstLine="0"/>
              <w:jc w:val="left"/>
            </w:pPr>
            <w:r>
              <w:rPr>
                <w:sz w:val="26"/>
              </w:rPr>
              <w:t>CÂMARA MUNICIPAL DE CANGUÇU</w:t>
            </w:r>
          </w:p>
          <w:p w:rsidR="00DD7AAB" w:rsidRDefault="00703662">
            <w:pPr>
              <w:spacing w:after="0" w:line="259" w:lineRule="auto"/>
              <w:ind w:left="0" w:right="0" w:firstLine="0"/>
              <w:jc w:val="center"/>
            </w:pPr>
            <w:r>
              <w:rPr>
                <w:sz w:val="26"/>
              </w:rPr>
              <w:t>ESTADO DO RIO GRANDE DO SUL</w:t>
            </w:r>
          </w:p>
          <w:p w:rsidR="00DD7AAB" w:rsidRDefault="00703662">
            <w:pPr>
              <w:spacing w:after="0" w:line="259" w:lineRule="auto"/>
              <w:ind w:left="278" w:right="0" w:hanging="278"/>
            </w:pPr>
            <w:r>
              <w:rPr>
                <w:sz w:val="20"/>
              </w:rPr>
              <w:t>Rua General Osório, 979. Centro. CEP:96600-000. Canguçu—RS Telefone: 53 3252-1528.http://cama</w:t>
            </w:r>
            <w:r>
              <w:rPr>
                <w:sz w:val="20"/>
              </w:rPr>
              <w:t>racan ucu.rs. ov.br/</w:t>
            </w:r>
          </w:p>
        </w:tc>
      </w:tr>
    </w:tbl>
    <w:p w:rsidR="00DD7AAB" w:rsidRDefault="00703662">
      <w:pPr>
        <w:spacing w:after="205"/>
        <w:ind w:left="-1" w:right="0"/>
      </w:pPr>
      <w:r>
        <w:t>A contratada deverá fornecer as 30 (trinta) licenças e ativar as 15 (quinze) caixas de correio eletrônico observando as quantidades, especificações e prazos estabelecidos neste Termo de Referência; Garantir a atualização tecnológica da solução, sem custo a</w:t>
      </w:r>
      <w:r>
        <w:t>dicional, durante toda a vigência contratual; Manter, durante a execução do contrato, as condições de habilitação exigidas na licitação; Assegurar a confidencialidade e a proteção dos dados institucionais, em conformidade com a LGPD; Prestar suporte técnic</w:t>
      </w:r>
      <w:r>
        <w:t>o e esclarecimentos necessários à Administração; Permitir a substituição de usuários com caixa de correio eletrônico ativa, dentro do limite de 15 (quinze) caixas simultâneas, sem custo adicional; Responsabilizar-se por eventuais danos causados à Administr</w:t>
      </w:r>
      <w:r>
        <w:t>ação ou a terceiros em decorrência de ação ou omissão na execução do contrato.</w:t>
      </w:r>
    </w:p>
    <w:p w:rsidR="00DD7AAB" w:rsidRDefault="00703662">
      <w:pPr>
        <w:pStyle w:val="Heading2"/>
        <w:ind w:left="9"/>
      </w:pPr>
      <w:r>
        <w:t>8. ESTIMATIVA DE PREÇOS</w:t>
      </w:r>
    </w:p>
    <w:p w:rsidR="00DD7AAB" w:rsidRDefault="00703662">
      <w:pPr>
        <w:spacing w:after="293"/>
        <w:ind w:left="82" w:right="456"/>
      </w:pPr>
      <w:r>
        <w:t>O custo estimado total da prestação dos serviços é de R$ 42.885,00. (quarenta e dois mil, oitocentos e oitenta e cinco reais), conforme valores unitários</w:t>
      </w:r>
      <w:r>
        <w:t xml:space="preserve"> descritos na tabela desse Termo de Referência.</w:t>
      </w:r>
    </w:p>
    <w:p w:rsidR="00DD7AAB" w:rsidRDefault="00703662">
      <w:pPr>
        <w:pStyle w:val="Heading2"/>
        <w:ind w:left="9"/>
      </w:pPr>
      <w:r>
        <w:t>9. ADEQUAÇÃO ORÇAMENTÁRIA</w:t>
      </w:r>
    </w:p>
    <w:p w:rsidR="00DD7AAB" w:rsidRDefault="00703662">
      <w:pPr>
        <w:spacing w:after="524"/>
        <w:ind w:left="82" w:right="0"/>
      </w:pPr>
      <w:r>
        <w:t>O dispêndio decorrente da contratação ora pretendida decorrerá da seguinte dotação orçamentária:</w:t>
      </w:r>
    </w:p>
    <w:p w:rsidR="00DD7AAB" w:rsidRDefault="00703662">
      <w:pPr>
        <w:spacing w:line="259" w:lineRule="auto"/>
        <w:ind w:left="370" w:right="0" w:hanging="10"/>
        <w:jc w:val="left"/>
      </w:pPr>
      <w:r>
        <w:rPr>
          <w:noProof/>
        </w:rPr>
        <w:drawing>
          <wp:inline distT="0" distB="0" distL="0" distR="0">
            <wp:extent cx="51816" cy="51832"/>
            <wp:effectExtent l="0" t="0" r="0" b="0"/>
            <wp:docPr id="30342" name="Picture 30342"/>
            <wp:cNvGraphicFramePr/>
            <a:graphic xmlns:a="http://schemas.openxmlformats.org/drawingml/2006/main">
              <a:graphicData uri="http://schemas.openxmlformats.org/drawingml/2006/picture">
                <pic:pic xmlns:pic="http://schemas.openxmlformats.org/drawingml/2006/picture">
                  <pic:nvPicPr>
                    <pic:cNvPr id="30342" name="Picture 30342"/>
                    <pic:cNvPicPr/>
                  </pic:nvPicPr>
                  <pic:blipFill>
                    <a:blip r:embed="rId8"/>
                    <a:stretch>
                      <a:fillRect/>
                    </a:stretch>
                  </pic:blipFill>
                  <pic:spPr>
                    <a:xfrm>
                      <a:off x="0" y="0"/>
                      <a:ext cx="51816" cy="51832"/>
                    </a:xfrm>
                    <a:prstGeom prst="rect">
                      <a:avLst/>
                    </a:prstGeom>
                  </pic:spPr>
                </pic:pic>
              </a:graphicData>
            </a:graphic>
          </wp:inline>
        </w:drawing>
      </w:r>
      <w:r>
        <w:rPr>
          <w:sz w:val="28"/>
        </w:rPr>
        <w:t xml:space="preserve"> Unidade Orçamentária:</w:t>
      </w:r>
    </w:p>
    <w:p w:rsidR="00DD7AAB" w:rsidRDefault="00703662">
      <w:pPr>
        <w:spacing w:after="203" w:line="265" w:lineRule="auto"/>
        <w:ind w:left="5" w:right="0" w:hanging="10"/>
        <w:jc w:val="left"/>
      </w:pPr>
      <w:r>
        <w:rPr>
          <w:sz w:val="22"/>
        </w:rPr>
        <w:t>01 .01 - CÂMARA MUNICIPAL DE VEREADORES</w:t>
      </w:r>
    </w:p>
    <w:p w:rsidR="00DD7AAB" w:rsidRDefault="00703662">
      <w:pPr>
        <w:numPr>
          <w:ilvl w:val="0"/>
          <w:numId w:val="2"/>
        </w:numPr>
        <w:spacing w:line="259" w:lineRule="auto"/>
        <w:ind w:right="0" w:hanging="370"/>
        <w:jc w:val="left"/>
      </w:pPr>
      <w:r>
        <w:rPr>
          <w:sz w:val="28"/>
        </w:rPr>
        <w:t>Projeto/Atividade:</w:t>
      </w:r>
    </w:p>
    <w:p w:rsidR="00DD7AAB" w:rsidRDefault="00703662">
      <w:pPr>
        <w:spacing w:after="46" w:line="265" w:lineRule="auto"/>
        <w:ind w:left="5" w:right="0" w:hanging="10"/>
        <w:jc w:val="left"/>
      </w:pPr>
      <w:r>
        <w:rPr>
          <w:sz w:val="22"/>
        </w:rPr>
        <w:t xml:space="preserve">2.001 </w:t>
      </w:r>
      <w:r>
        <w:rPr>
          <w:sz w:val="22"/>
        </w:rPr>
        <w:t>- Manutenção das Atividades Legislativas</w:t>
      </w:r>
    </w:p>
    <w:p w:rsidR="00DD7AAB" w:rsidRDefault="00703662">
      <w:pPr>
        <w:numPr>
          <w:ilvl w:val="0"/>
          <w:numId w:val="2"/>
        </w:numPr>
        <w:spacing w:line="259" w:lineRule="auto"/>
        <w:ind w:right="0" w:hanging="370"/>
        <w:jc w:val="left"/>
      </w:pPr>
      <w:r>
        <w:rPr>
          <w:sz w:val="28"/>
        </w:rPr>
        <w:t>Categoria Econômica</w:t>
      </w:r>
    </w:p>
    <w:p w:rsidR="00DD7AAB" w:rsidRDefault="00703662">
      <w:pPr>
        <w:spacing w:after="0" w:line="265" w:lineRule="auto"/>
        <w:ind w:left="5" w:right="0" w:hanging="10"/>
        <w:jc w:val="left"/>
      </w:pPr>
      <w:r>
        <w:rPr>
          <w:sz w:val="22"/>
        </w:rPr>
        <w:t>3 - Despesas Correntes</w:t>
      </w:r>
    </w:p>
    <w:p w:rsidR="00DD7AAB" w:rsidRDefault="00703662">
      <w:pPr>
        <w:pStyle w:val="Heading2"/>
        <w:ind w:left="370"/>
      </w:pPr>
      <w:r>
        <w:t>• Natureza da Despesa e saldo Disponível atual</w:t>
      </w:r>
    </w:p>
    <w:p w:rsidR="00DD7AAB" w:rsidRDefault="00703662">
      <w:pPr>
        <w:pStyle w:val="Heading3"/>
        <w:spacing w:after="56"/>
        <w:ind w:left="9" w:right="3096"/>
      </w:pPr>
      <w:r>
        <w:t>3.3.90.40 - SERVICOS DE T. l. C. R$ 151.425,59 Rubrica (desdobramento da Natureza da Despesa)</w:t>
      </w:r>
    </w:p>
    <w:p w:rsidR="00DD7AAB" w:rsidRDefault="00703662">
      <w:pPr>
        <w:spacing w:after="0" w:line="265" w:lineRule="auto"/>
        <w:ind w:left="5" w:right="0" w:hanging="10"/>
        <w:jc w:val="left"/>
      </w:pPr>
      <w:r>
        <w:rPr>
          <w:sz w:val="22"/>
        </w:rPr>
        <w:t>3.3.90.40.99.OO.OO.OO - O</w:t>
      </w:r>
      <w:r>
        <w:rPr>
          <w:sz w:val="22"/>
        </w:rPr>
        <w:t>UTROS SERVICOS T.l.c.</w:t>
      </w:r>
    </w:p>
    <w:p w:rsidR="00DD7AAB" w:rsidRDefault="00703662">
      <w:pPr>
        <w:spacing w:after="377" w:line="265" w:lineRule="auto"/>
        <w:ind w:left="812" w:right="0" w:hanging="10"/>
        <w:jc w:val="left"/>
      </w:pPr>
      <w:r>
        <w:rPr>
          <w:sz w:val="22"/>
        </w:rPr>
        <w:t>Cód. Reduzido: 6995</w:t>
      </w:r>
    </w:p>
    <w:p w:rsidR="00DD7AAB" w:rsidRDefault="00703662">
      <w:pPr>
        <w:pStyle w:val="Heading2"/>
        <w:ind w:left="101"/>
      </w:pPr>
      <w:r>
        <w:t>IO.OUTRAS ESPECIFICAÇÕES E DISPOSIÇÕES GERAIS</w:t>
      </w:r>
    </w:p>
    <w:p w:rsidR="00DD7AAB" w:rsidRDefault="00703662">
      <w:pPr>
        <w:spacing w:after="151"/>
        <w:ind w:left="77" w:right="451"/>
      </w:pPr>
      <w:r>
        <w:t>Antes de apresentar sua proposta, a contratada deverá analisar e consultar todas as especificações, executando todos os levantamentos necessários, de modo a não incorre</w:t>
      </w:r>
      <w:r>
        <w:t>r em omissões, que jamais poderão ser alegadas em favor de eventuais pretensões de acréscimos de preços ou alteração da data de execução dos serviços.</w:t>
      </w:r>
    </w:p>
    <w:tbl>
      <w:tblPr>
        <w:tblStyle w:val="TableGrid"/>
        <w:tblpPr w:vertAnchor="page" w:horzAnchor="page" w:tblpX="3338" w:tblpY="1376"/>
        <w:tblOverlap w:val="never"/>
        <w:tblW w:w="5561" w:type="dxa"/>
        <w:tblInd w:w="0" w:type="dxa"/>
        <w:tblCellMar>
          <w:top w:w="86" w:type="dxa"/>
          <w:left w:w="199" w:type="dxa"/>
          <w:bottom w:w="0" w:type="dxa"/>
          <w:right w:w="115" w:type="dxa"/>
        </w:tblCellMar>
        <w:tblLook w:val="04A0" w:firstRow="1" w:lastRow="0" w:firstColumn="1" w:lastColumn="0" w:noHBand="0" w:noVBand="1"/>
      </w:tblPr>
      <w:tblGrid>
        <w:gridCol w:w="5561"/>
      </w:tblGrid>
      <w:tr w:rsidR="00DD7AAB">
        <w:trPr>
          <w:trHeight w:val="1044"/>
        </w:trPr>
        <w:tc>
          <w:tcPr>
            <w:tcW w:w="5561" w:type="dxa"/>
            <w:tcBorders>
              <w:top w:val="single" w:sz="2" w:space="0" w:color="000000"/>
              <w:left w:val="single" w:sz="2" w:space="0" w:color="000000"/>
              <w:bottom w:val="nil"/>
              <w:right w:val="single" w:sz="2" w:space="0" w:color="000000"/>
            </w:tcBorders>
          </w:tcPr>
          <w:p w:rsidR="00DD7AAB" w:rsidRDefault="00703662">
            <w:pPr>
              <w:spacing w:after="0" w:line="259" w:lineRule="auto"/>
              <w:ind w:left="878" w:right="0" w:firstLine="0"/>
              <w:jc w:val="left"/>
            </w:pPr>
            <w:r>
              <w:rPr>
                <w:sz w:val="26"/>
              </w:rPr>
              <w:t>CÂMARA MUNICIPAL DE CANGUÇU</w:t>
            </w:r>
          </w:p>
          <w:p w:rsidR="00DD7AAB" w:rsidRDefault="00703662">
            <w:pPr>
              <w:spacing w:after="0" w:line="259" w:lineRule="auto"/>
              <w:ind w:left="0" w:right="77" w:firstLine="0"/>
              <w:jc w:val="center"/>
            </w:pPr>
            <w:r>
              <w:rPr>
                <w:sz w:val="26"/>
              </w:rPr>
              <w:t>ESTADO DO RIO GRANDE DO SUL</w:t>
            </w:r>
          </w:p>
          <w:p w:rsidR="00DD7AAB" w:rsidRDefault="00703662">
            <w:pPr>
              <w:spacing w:after="0" w:line="259" w:lineRule="auto"/>
              <w:ind w:left="0" w:right="0" w:firstLine="0"/>
              <w:jc w:val="center"/>
            </w:pPr>
            <w:r>
              <w:rPr>
                <w:sz w:val="20"/>
              </w:rPr>
              <w:t>Rua General Osório, 979. Centro. CEP:96600-000. Canguçu—RS Telefone: (53) 3252-1528.htto://camaracanaucu.rs.aov.br/</w:t>
            </w:r>
          </w:p>
        </w:tc>
      </w:tr>
    </w:tbl>
    <w:p w:rsidR="00DD7AAB" w:rsidRDefault="00703662">
      <w:pPr>
        <w:spacing w:after="890"/>
        <w:ind w:left="77" w:right="456"/>
      </w:pPr>
      <w:r>
        <w:t xml:space="preserve">É dever da contratada verificar previamente as datas e prazos estabelecidos neste Termo de Referência. Dessa forma, não será admitida como </w:t>
      </w:r>
      <w:r>
        <w:t>justificativa para atrasos qualquer falha no cumprimento dos prazos.</w:t>
      </w:r>
    </w:p>
    <w:p w:rsidR="00DD7AAB" w:rsidRDefault="00703662">
      <w:pPr>
        <w:spacing w:after="581" w:line="259" w:lineRule="auto"/>
        <w:ind w:left="0" w:right="24" w:firstLine="0"/>
        <w:jc w:val="right"/>
      </w:pPr>
      <w:r>
        <w:rPr>
          <w:sz w:val="28"/>
        </w:rPr>
        <w:t>Canguçu, 09 de setembro de 2026.</w:t>
      </w:r>
    </w:p>
    <w:p w:rsidR="00DD7AAB" w:rsidRDefault="00703662">
      <w:pPr>
        <w:spacing w:after="1" w:line="259" w:lineRule="auto"/>
        <w:ind w:left="1263" w:right="1234" w:hanging="10"/>
        <w:jc w:val="center"/>
      </w:pPr>
      <w:r>
        <w:rPr>
          <w:sz w:val="14"/>
        </w:rPr>
        <w:t>CARLOS EDUARD0 Assinado de forma digital por</w:t>
      </w:r>
    </w:p>
    <w:p w:rsidR="00DD7AAB" w:rsidRDefault="00703662">
      <w:pPr>
        <w:spacing w:after="1" w:line="259" w:lineRule="auto"/>
        <w:ind w:left="1263" w:right="38" w:hanging="10"/>
        <w:jc w:val="center"/>
      </w:pPr>
      <w:r>
        <w:rPr>
          <w:sz w:val="14"/>
        </w:rPr>
        <w:t>CARLOS EDUARDO</w:t>
      </w:r>
    </w:p>
    <w:p w:rsidR="00DD7AAB" w:rsidRDefault="00703662">
      <w:pPr>
        <w:tabs>
          <w:tab w:val="center" w:pos="3386"/>
          <w:tab w:val="center" w:pos="4987"/>
        </w:tabs>
        <w:spacing w:after="21" w:line="259" w:lineRule="auto"/>
        <w:ind w:left="0" w:right="0" w:firstLine="0"/>
        <w:jc w:val="left"/>
      </w:pPr>
      <w:r>
        <w:rPr>
          <w:sz w:val="18"/>
        </w:rPr>
        <w:tab/>
      </w:r>
      <w:r>
        <w:rPr>
          <w:sz w:val="18"/>
        </w:rPr>
        <w:t>DOMINGUES</w:t>
      </w:r>
      <w:r>
        <w:rPr>
          <w:sz w:val="18"/>
        </w:rPr>
        <w:tab/>
      </w:r>
      <w:r>
        <w:rPr>
          <w:sz w:val="18"/>
        </w:rPr>
        <w:t>DOMINGUES</w:t>
      </w:r>
    </w:p>
    <w:p w:rsidR="00DD7AAB" w:rsidRDefault="00703662">
      <w:pPr>
        <w:spacing w:after="1" w:line="259" w:lineRule="auto"/>
        <w:ind w:left="1263" w:right="1579" w:hanging="10"/>
        <w:jc w:val="center"/>
      </w:pPr>
      <w:r>
        <w:rPr>
          <w:sz w:val="14"/>
        </w:rPr>
        <w:t>MARTINS:OOOI 0031 MARTINS:00010031006</w:t>
      </w:r>
    </w:p>
    <w:p w:rsidR="00DD7AAB" w:rsidRDefault="00703662">
      <w:pPr>
        <w:spacing w:after="29" w:line="259" w:lineRule="auto"/>
        <w:ind w:left="1263" w:right="0" w:hanging="10"/>
        <w:jc w:val="center"/>
      </w:pPr>
      <w:r>
        <w:rPr>
          <w:sz w:val="14"/>
        </w:rPr>
        <w:t>Dados:</w:t>
      </w:r>
      <w:r>
        <w:rPr>
          <w:noProof/>
        </w:rPr>
        <w:drawing>
          <wp:inline distT="0" distB="0" distL="0" distR="0">
            <wp:extent cx="432816" cy="60978"/>
            <wp:effectExtent l="0" t="0" r="0" b="0"/>
            <wp:docPr id="42880" name="Picture 42880"/>
            <wp:cNvGraphicFramePr/>
            <a:graphic xmlns:a="http://schemas.openxmlformats.org/drawingml/2006/main">
              <a:graphicData uri="http://schemas.openxmlformats.org/drawingml/2006/picture">
                <pic:pic xmlns:pic="http://schemas.openxmlformats.org/drawingml/2006/picture">
                  <pic:nvPicPr>
                    <pic:cNvPr id="42880" name="Picture 42880"/>
                    <pic:cNvPicPr/>
                  </pic:nvPicPr>
                  <pic:blipFill>
                    <a:blip r:embed="rId9"/>
                    <a:stretch>
                      <a:fillRect/>
                    </a:stretch>
                  </pic:blipFill>
                  <pic:spPr>
                    <a:xfrm>
                      <a:off x="0" y="0"/>
                      <a:ext cx="432816" cy="60978"/>
                    </a:xfrm>
                    <a:prstGeom prst="rect">
                      <a:avLst/>
                    </a:prstGeom>
                  </pic:spPr>
                </pic:pic>
              </a:graphicData>
            </a:graphic>
          </wp:inline>
        </w:drawing>
      </w:r>
    </w:p>
    <w:p w:rsidR="00DD7AAB" w:rsidRDefault="00703662">
      <w:pPr>
        <w:tabs>
          <w:tab w:val="center" w:pos="2995"/>
          <w:tab w:val="center" w:pos="4810"/>
        </w:tabs>
        <w:spacing w:after="0" w:line="259" w:lineRule="auto"/>
        <w:ind w:left="0" w:right="0" w:firstLine="0"/>
        <w:jc w:val="left"/>
      </w:pPr>
      <w:r>
        <w:rPr>
          <w:sz w:val="16"/>
        </w:rPr>
        <w:tab/>
      </w:r>
      <w:r>
        <w:rPr>
          <w:sz w:val="16"/>
        </w:rPr>
        <w:t>006</w:t>
      </w:r>
      <w:r>
        <w:rPr>
          <w:sz w:val="16"/>
        </w:rPr>
        <w:tab/>
        <w:t>-0300'</w:t>
      </w:r>
    </w:p>
    <w:p w:rsidR="00DD7AAB" w:rsidRDefault="00703662">
      <w:pPr>
        <w:spacing w:after="423" w:line="259" w:lineRule="auto"/>
        <w:ind w:left="2683" w:right="0" w:firstLine="0"/>
        <w:jc w:val="left"/>
      </w:pPr>
      <w:r>
        <w:rPr>
          <w:noProof/>
          <w:sz w:val="22"/>
        </w:rPr>
        <mc:AlternateContent>
          <mc:Choice Requires="wpg">
            <w:drawing>
              <wp:inline distT="0" distB="0" distL="0" distR="0">
                <wp:extent cx="2407920" cy="9147"/>
                <wp:effectExtent l="0" t="0" r="0" b="0"/>
                <wp:docPr id="42883" name="Group 42883"/>
                <wp:cNvGraphicFramePr/>
                <a:graphic xmlns:a="http://schemas.openxmlformats.org/drawingml/2006/main">
                  <a:graphicData uri="http://schemas.microsoft.com/office/word/2010/wordprocessingGroup">
                    <wpg:wgp>
                      <wpg:cNvGrpSpPr/>
                      <wpg:grpSpPr>
                        <a:xfrm>
                          <a:off x="0" y="0"/>
                          <a:ext cx="2407920" cy="9147"/>
                          <a:chOff x="0" y="0"/>
                          <a:chExt cx="2407920" cy="9147"/>
                        </a:xfrm>
                      </wpg:grpSpPr>
                      <wps:wsp>
                        <wps:cNvPr id="42882" name="Shape 42882"/>
                        <wps:cNvSpPr/>
                        <wps:spPr>
                          <a:xfrm>
                            <a:off x="0" y="0"/>
                            <a:ext cx="2407920" cy="9147"/>
                          </a:xfrm>
                          <a:custGeom>
                            <a:avLst/>
                            <a:gdLst/>
                            <a:ahLst/>
                            <a:cxnLst/>
                            <a:rect l="0" t="0" r="0" b="0"/>
                            <a:pathLst>
                              <a:path w="2407920" h="9147">
                                <a:moveTo>
                                  <a:pt x="0" y="4573"/>
                                </a:moveTo>
                                <a:lnTo>
                                  <a:pt x="24079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2883" style="width:189.6pt;height:0.720215pt;mso-position-horizontal-relative:char;mso-position-vertical-relative:line" coordsize="24079,91">
                <v:shape id="Shape 42882" style="position:absolute;width:24079;height:91;left:0;top:0;" coordsize="2407920,9147" path="m0,4573l2407920,4573">
                  <v:stroke weight="0.720215pt" endcap="flat" joinstyle="miter" miterlimit="1" on="true" color="#000000"/>
                  <v:fill on="false" color="#000000"/>
                </v:shape>
              </v:group>
            </w:pict>
          </mc:Fallback>
        </mc:AlternateContent>
      </w:r>
    </w:p>
    <w:p w:rsidR="00DD7AAB" w:rsidRDefault="00703662">
      <w:pPr>
        <w:pStyle w:val="Heading1"/>
        <w:ind w:left="0" w:right="34" w:firstLine="0"/>
        <w:jc w:val="center"/>
      </w:pPr>
      <w:r>
        <w:t>CARLOS EDUARDO DOMINGUES MARTINS</w:t>
      </w:r>
    </w:p>
    <w:p w:rsidR="00DD7AAB" w:rsidRDefault="00703662">
      <w:pPr>
        <w:spacing w:after="0" w:line="259" w:lineRule="auto"/>
        <w:ind w:left="0" w:right="43" w:firstLine="0"/>
        <w:jc w:val="center"/>
      </w:pPr>
      <w:r>
        <w:rPr>
          <w:sz w:val="26"/>
        </w:rPr>
        <w:t>Presidente da Câmara Municipal de Canguçu</w:t>
      </w:r>
    </w:p>
    <w:sectPr w:rsidR="00DD7AAB">
      <w:footerReference w:type="even" r:id="rId10"/>
      <w:footerReference w:type="default" r:id="rId11"/>
      <w:footerReference w:type="first" r:id="rId12"/>
      <w:pgSz w:w="12240" w:h="15840"/>
      <w:pgMar w:top="1376" w:right="1435" w:bottom="945" w:left="1699" w:header="72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03662">
      <w:pPr>
        <w:spacing w:after="0" w:line="240" w:lineRule="auto"/>
      </w:pPr>
      <w:r>
        <w:separator/>
      </w:r>
    </w:p>
  </w:endnote>
  <w:endnote w:type="continuationSeparator" w:id="0">
    <w:p w:rsidR="00000000" w:rsidRDefault="00703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3862" w:tblpY="15276"/>
      <w:tblOverlap w:val="never"/>
      <w:tblW w:w="4632" w:type="dxa"/>
      <w:tblInd w:w="0" w:type="dxa"/>
      <w:tblCellMar>
        <w:top w:w="44" w:type="dxa"/>
        <w:left w:w="50" w:type="dxa"/>
        <w:bottom w:w="0" w:type="dxa"/>
        <w:right w:w="115" w:type="dxa"/>
      </w:tblCellMar>
      <w:tblLook w:val="04A0" w:firstRow="1" w:lastRow="0" w:firstColumn="1" w:lastColumn="0" w:noHBand="0" w:noVBand="1"/>
    </w:tblPr>
    <w:tblGrid>
      <w:gridCol w:w="4632"/>
    </w:tblGrid>
    <w:tr w:rsidR="00DD7AAB">
      <w:trPr>
        <w:trHeight w:val="250"/>
      </w:trPr>
      <w:tc>
        <w:tcPr>
          <w:tcW w:w="4632" w:type="dxa"/>
          <w:tcBorders>
            <w:top w:val="single" w:sz="10" w:space="0" w:color="000000"/>
            <w:left w:val="single" w:sz="10" w:space="0" w:color="000000"/>
            <w:bottom w:val="single" w:sz="10" w:space="0" w:color="000000"/>
            <w:right w:val="single" w:sz="6" w:space="0" w:color="000000"/>
          </w:tcBorders>
        </w:tcPr>
        <w:p w:rsidR="00DD7AAB" w:rsidRDefault="00703662">
          <w:pPr>
            <w:spacing w:after="0" w:line="259" w:lineRule="auto"/>
            <w:ind w:left="0" w:right="0" w:firstLine="0"/>
            <w:jc w:val="left"/>
          </w:pPr>
          <w:r>
            <w:rPr>
              <w:sz w:val="20"/>
            </w:rPr>
            <w:t xml:space="preserve">"DOE SANGUE, DOE ÓRGÃOS, SALVE </w:t>
          </w:r>
          <w:r>
            <w:rPr>
              <w:sz w:val="16"/>
            </w:rPr>
            <w:t xml:space="preserve">UMA </w:t>
          </w:r>
          <w:r>
            <w:rPr>
              <w:sz w:val="18"/>
            </w:rPr>
            <w:t>VIDA!"</w:t>
          </w:r>
        </w:p>
      </w:tc>
    </w:tr>
  </w:tbl>
  <w:p w:rsidR="00DD7AAB" w:rsidRDefault="00DD7AAB">
    <w:pPr>
      <w:spacing w:after="0" w:line="259" w:lineRule="auto"/>
      <w:ind w:left="-1699" w:right="2311"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3862" w:tblpY="15276"/>
      <w:tblOverlap w:val="never"/>
      <w:tblW w:w="4632" w:type="dxa"/>
      <w:tblInd w:w="0" w:type="dxa"/>
      <w:tblCellMar>
        <w:top w:w="44" w:type="dxa"/>
        <w:left w:w="50" w:type="dxa"/>
        <w:bottom w:w="0" w:type="dxa"/>
        <w:right w:w="115" w:type="dxa"/>
      </w:tblCellMar>
      <w:tblLook w:val="04A0" w:firstRow="1" w:lastRow="0" w:firstColumn="1" w:lastColumn="0" w:noHBand="0" w:noVBand="1"/>
    </w:tblPr>
    <w:tblGrid>
      <w:gridCol w:w="4632"/>
    </w:tblGrid>
    <w:tr w:rsidR="00DD7AAB">
      <w:trPr>
        <w:trHeight w:val="250"/>
      </w:trPr>
      <w:tc>
        <w:tcPr>
          <w:tcW w:w="4632" w:type="dxa"/>
          <w:tcBorders>
            <w:top w:val="single" w:sz="10" w:space="0" w:color="000000"/>
            <w:left w:val="single" w:sz="10" w:space="0" w:color="000000"/>
            <w:bottom w:val="single" w:sz="10" w:space="0" w:color="000000"/>
            <w:right w:val="single" w:sz="6" w:space="0" w:color="000000"/>
          </w:tcBorders>
        </w:tcPr>
        <w:p w:rsidR="00DD7AAB" w:rsidRDefault="00703662">
          <w:pPr>
            <w:spacing w:after="0" w:line="259" w:lineRule="auto"/>
            <w:ind w:left="0" w:right="0" w:firstLine="0"/>
            <w:jc w:val="left"/>
          </w:pPr>
          <w:r>
            <w:rPr>
              <w:sz w:val="20"/>
            </w:rPr>
            <w:t xml:space="preserve">"DOE SANGUE, DOE ÓRGÃOS, SALVE </w:t>
          </w:r>
          <w:r>
            <w:rPr>
              <w:sz w:val="16"/>
            </w:rPr>
            <w:t xml:space="preserve">UMA </w:t>
          </w:r>
          <w:r>
            <w:rPr>
              <w:sz w:val="18"/>
            </w:rPr>
            <w:t>VIDA!"</w:t>
          </w:r>
        </w:p>
      </w:tc>
    </w:tr>
  </w:tbl>
  <w:p w:rsidR="00DD7AAB" w:rsidRDefault="00DD7AAB">
    <w:pPr>
      <w:spacing w:after="0" w:line="259" w:lineRule="auto"/>
      <w:ind w:left="-1699" w:right="231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3862" w:tblpY="15276"/>
      <w:tblOverlap w:val="never"/>
      <w:tblW w:w="4632" w:type="dxa"/>
      <w:tblInd w:w="0" w:type="dxa"/>
      <w:tblCellMar>
        <w:top w:w="44" w:type="dxa"/>
        <w:left w:w="50" w:type="dxa"/>
        <w:bottom w:w="0" w:type="dxa"/>
        <w:right w:w="115" w:type="dxa"/>
      </w:tblCellMar>
      <w:tblLook w:val="04A0" w:firstRow="1" w:lastRow="0" w:firstColumn="1" w:lastColumn="0" w:noHBand="0" w:noVBand="1"/>
    </w:tblPr>
    <w:tblGrid>
      <w:gridCol w:w="4632"/>
    </w:tblGrid>
    <w:tr w:rsidR="00DD7AAB">
      <w:trPr>
        <w:trHeight w:val="250"/>
      </w:trPr>
      <w:tc>
        <w:tcPr>
          <w:tcW w:w="4632" w:type="dxa"/>
          <w:tcBorders>
            <w:top w:val="single" w:sz="10" w:space="0" w:color="000000"/>
            <w:left w:val="single" w:sz="10" w:space="0" w:color="000000"/>
            <w:bottom w:val="single" w:sz="10" w:space="0" w:color="000000"/>
            <w:right w:val="single" w:sz="6" w:space="0" w:color="000000"/>
          </w:tcBorders>
        </w:tcPr>
        <w:p w:rsidR="00DD7AAB" w:rsidRDefault="00703662">
          <w:pPr>
            <w:spacing w:after="0" w:line="259" w:lineRule="auto"/>
            <w:ind w:left="0" w:right="0" w:firstLine="0"/>
            <w:jc w:val="left"/>
          </w:pPr>
          <w:r>
            <w:rPr>
              <w:sz w:val="20"/>
            </w:rPr>
            <w:t xml:space="preserve">"DOE SANGUE, DOE </w:t>
          </w:r>
          <w:r>
            <w:rPr>
              <w:sz w:val="20"/>
            </w:rPr>
            <w:t xml:space="preserve">ÓRGÃOS, SALVE </w:t>
          </w:r>
          <w:r>
            <w:rPr>
              <w:sz w:val="16"/>
            </w:rPr>
            <w:t xml:space="preserve">UMA </w:t>
          </w:r>
          <w:r>
            <w:rPr>
              <w:sz w:val="18"/>
            </w:rPr>
            <w:t>VIDA!"</w:t>
          </w:r>
        </w:p>
      </w:tc>
    </w:tr>
  </w:tbl>
  <w:p w:rsidR="00DD7AAB" w:rsidRDefault="00DD7AAB">
    <w:pPr>
      <w:spacing w:after="0" w:line="259" w:lineRule="auto"/>
      <w:ind w:left="-1699" w:right="2311"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03662">
      <w:pPr>
        <w:spacing w:after="0" w:line="240" w:lineRule="auto"/>
      </w:pPr>
      <w:r>
        <w:separator/>
      </w:r>
    </w:p>
  </w:footnote>
  <w:footnote w:type="continuationSeparator" w:id="0">
    <w:p w:rsidR="00000000" w:rsidRDefault="00703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30343" o:spid="_x0000_i1026" style="width:4.5pt;height:4.5pt" coordsize="" o:spt="100" o:bullet="t" adj="0,,0" path="" stroked="f">
        <v:stroke joinstyle="miter"/>
        <v:imagedata r:id="rId1" o:title="image5"/>
        <v:formulas/>
        <v:path o:connecttype="segments"/>
      </v:shape>
    </w:pict>
  </w:numPicBullet>
  <w:abstractNum w:abstractNumId="0" w15:restartNumberingAfterBreak="0">
    <w:nsid w:val="00446FF3"/>
    <w:multiLevelType w:val="hybridMultilevel"/>
    <w:tmpl w:val="3E20C988"/>
    <w:lvl w:ilvl="0" w:tplc="E87EB3DE">
      <w:start w:val="2"/>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A067322">
      <w:start w:val="1"/>
      <w:numFmt w:val="lowerLetter"/>
      <w:lvlText w:val="%2"/>
      <w:lvlJc w:val="left"/>
      <w:pPr>
        <w:ind w:left="10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2E03936">
      <w:start w:val="1"/>
      <w:numFmt w:val="lowerRoman"/>
      <w:lvlText w:val="%3"/>
      <w:lvlJc w:val="left"/>
      <w:pPr>
        <w:ind w:left="18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4B2BE74">
      <w:start w:val="1"/>
      <w:numFmt w:val="decimal"/>
      <w:lvlText w:val="%4"/>
      <w:lvlJc w:val="left"/>
      <w:pPr>
        <w:ind w:left="25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2F48D6A">
      <w:start w:val="1"/>
      <w:numFmt w:val="lowerLetter"/>
      <w:lvlText w:val="%5"/>
      <w:lvlJc w:val="left"/>
      <w:pPr>
        <w:ind w:left="32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64C217C">
      <w:start w:val="1"/>
      <w:numFmt w:val="lowerRoman"/>
      <w:lvlText w:val="%6"/>
      <w:lvlJc w:val="left"/>
      <w:pPr>
        <w:ind w:left="39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38681C0">
      <w:start w:val="1"/>
      <w:numFmt w:val="decimal"/>
      <w:lvlText w:val="%7"/>
      <w:lvlJc w:val="left"/>
      <w:pPr>
        <w:ind w:left="46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ED28E3C">
      <w:start w:val="1"/>
      <w:numFmt w:val="lowerLetter"/>
      <w:lvlText w:val="%8"/>
      <w:lvlJc w:val="left"/>
      <w:pPr>
        <w:ind w:left="54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2BAED74">
      <w:start w:val="1"/>
      <w:numFmt w:val="lowerRoman"/>
      <w:lvlText w:val="%9"/>
      <w:lvlJc w:val="left"/>
      <w:pPr>
        <w:ind w:left="61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8FB158F"/>
    <w:multiLevelType w:val="hybridMultilevel"/>
    <w:tmpl w:val="9592AB66"/>
    <w:lvl w:ilvl="0" w:tplc="1A28B716">
      <w:start w:val="1"/>
      <w:numFmt w:val="bullet"/>
      <w:lvlText w:val="•"/>
      <w:lvlPicBulletId w:val="0"/>
      <w:lvlJc w:val="left"/>
      <w:pPr>
        <w:ind w:left="7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FD6710E">
      <w:start w:val="1"/>
      <w:numFmt w:val="bullet"/>
      <w:lvlText w:val="o"/>
      <w:lvlJc w:val="left"/>
      <w:pPr>
        <w:ind w:left="1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A9219E4">
      <w:start w:val="1"/>
      <w:numFmt w:val="bullet"/>
      <w:lvlText w:val="▪"/>
      <w:lvlJc w:val="left"/>
      <w:pPr>
        <w:ind w:left="2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89AF686">
      <w:start w:val="1"/>
      <w:numFmt w:val="bullet"/>
      <w:lvlText w:val="•"/>
      <w:lvlJc w:val="left"/>
      <w:pPr>
        <w:ind w:left="3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A924D20">
      <w:start w:val="1"/>
      <w:numFmt w:val="bullet"/>
      <w:lvlText w:val="o"/>
      <w:lvlJc w:val="left"/>
      <w:pPr>
        <w:ind w:left="3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B14280A">
      <w:start w:val="1"/>
      <w:numFmt w:val="bullet"/>
      <w:lvlText w:val="▪"/>
      <w:lvlJc w:val="left"/>
      <w:pPr>
        <w:ind w:left="46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12C3E80">
      <w:start w:val="1"/>
      <w:numFmt w:val="bullet"/>
      <w:lvlText w:val="•"/>
      <w:lvlJc w:val="left"/>
      <w:pPr>
        <w:ind w:left="54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17C661C">
      <w:start w:val="1"/>
      <w:numFmt w:val="bullet"/>
      <w:lvlText w:val="o"/>
      <w:lvlJc w:val="left"/>
      <w:pPr>
        <w:ind w:left="61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53EDEC8">
      <w:start w:val="1"/>
      <w:numFmt w:val="bullet"/>
      <w:lvlText w:val="▪"/>
      <w:lvlJc w:val="left"/>
      <w:pPr>
        <w:ind w:left="68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AB"/>
    <w:rsid w:val="00703662"/>
    <w:rsid w:val="00DD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3DAF8AA-C02E-4DBF-9A81-509FE3FA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26" w:lineRule="auto"/>
      <w:ind w:left="10" w:right="5" w:firstLine="4"/>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71"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3"/>
      <w:ind w:left="20" w:hanging="10"/>
      <w:outlineLvl w:val="1"/>
    </w:pPr>
    <w:rPr>
      <w:rFonts w:ascii="Calibri" w:eastAsia="Calibri" w:hAnsi="Calibri" w:cs="Calibri"/>
      <w:color w:val="000000"/>
      <w:sz w:val="28"/>
    </w:rPr>
  </w:style>
  <w:style w:type="paragraph" w:styleId="Heading3">
    <w:name w:val="heading 3"/>
    <w:next w:val="Normal"/>
    <w:link w:val="Heading3Char"/>
    <w:uiPriority w:val="9"/>
    <w:unhideWhenUsed/>
    <w:qFormat/>
    <w:pPr>
      <w:keepNext/>
      <w:keepLines/>
      <w:spacing w:after="3"/>
      <w:ind w:left="20" w:hanging="10"/>
      <w:outlineLvl w:val="2"/>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3Char">
    <w:name w:val="Heading 3 Char"/>
    <w:link w:val="Heading3"/>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1780</Words>
  <Characters>10150</Characters>
  <Application>Microsoft Office Word</Application>
  <DocSecurity>4</DocSecurity>
  <Lines>84</Lines>
  <Paragraphs>23</Paragraphs>
  <ScaleCrop>false</ScaleCrop>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TR.docx</dc:title>
  <dc:subject/>
  <dc:creator>Tatiane Santo</dc:creator>
  <cp:keywords/>
  <cp:lastModifiedBy>word</cp:lastModifiedBy>
  <cp:revision>2</cp:revision>
  <dcterms:created xsi:type="dcterms:W3CDTF">2026-09-09T17:32:00Z</dcterms:created>
  <dcterms:modified xsi:type="dcterms:W3CDTF">2026-09-09T17:32:00Z</dcterms:modified>
</cp:coreProperties>
</file>