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A27" w:rsidRDefault="005D3C1C">
      <w:pPr>
        <w:spacing w:after="41" w:line="259" w:lineRule="auto"/>
        <w:ind w:right="0" w:firstLine="0"/>
        <w:jc w:val="left"/>
      </w:pPr>
      <w:bookmarkStart w:id="0" w:name="_GoBack"/>
      <w:bookmarkEnd w:id="0"/>
      <w:r>
        <w:rPr>
          <w:sz w:val="20"/>
        </w:rPr>
        <w:t xml:space="preserve"> </w:t>
      </w:r>
    </w:p>
    <w:p w:rsidR="00DD7A27" w:rsidRDefault="005D3C1C">
      <w:pPr>
        <w:spacing w:after="0" w:line="259" w:lineRule="auto"/>
        <w:ind w:right="12" w:firstLine="0"/>
        <w:jc w:val="center"/>
      </w:pPr>
      <w:r>
        <w:rPr>
          <w:b/>
          <w:sz w:val="26"/>
        </w:rPr>
        <w:t xml:space="preserve">ESTUDO TÉCNICO PRELIMINAR </w:t>
      </w:r>
    </w:p>
    <w:p w:rsidR="00DD7A27" w:rsidRDefault="005D3C1C">
      <w:pPr>
        <w:spacing w:after="0" w:line="259" w:lineRule="auto"/>
        <w:ind w:right="7" w:firstLine="0"/>
        <w:jc w:val="center"/>
      </w:pPr>
      <w:r>
        <w:rPr>
          <w:color w:val="333333"/>
        </w:rPr>
        <w:t>PROCESSO Nº 017/2026 - PREGÃO ELETRÔNICO 03/2026</w:t>
      </w:r>
      <w:r>
        <w:rPr>
          <w:i/>
          <w:color w:val="333333"/>
        </w:rPr>
        <w:t xml:space="preserve"> </w:t>
      </w:r>
    </w:p>
    <w:p w:rsidR="00DD7A27" w:rsidRDefault="005D3C1C">
      <w:pPr>
        <w:spacing w:after="0" w:line="259" w:lineRule="auto"/>
        <w:ind w:left="56" w:right="0" w:firstLine="0"/>
        <w:jc w:val="center"/>
      </w:pPr>
      <w:r>
        <w:t xml:space="preserve"> </w:t>
      </w:r>
    </w:p>
    <w:p w:rsidR="00DD7A27" w:rsidRDefault="005D3C1C">
      <w:pPr>
        <w:pStyle w:val="Heading1"/>
        <w:ind w:left="705" w:hanging="360"/>
      </w:pPr>
      <w:r>
        <w:t xml:space="preserve">DO OBJETO </w:t>
      </w:r>
    </w:p>
    <w:p w:rsidR="00DD7A27" w:rsidRDefault="005D3C1C">
      <w:pPr>
        <w:spacing w:after="103" w:line="259" w:lineRule="auto"/>
        <w:ind w:left="720" w:right="0" w:firstLine="0"/>
        <w:jc w:val="left"/>
      </w:pPr>
      <w:r>
        <w:rPr>
          <w:b/>
          <w:sz w:val="10"/>
        </w:rPr>
        <w:t xml:space="preserve"> </w:t>
      </w:r>
    </w:p>
    <w:p w:rsidR="00DD7A27" w:rsidRDefault="005D3C1C">
      <w:pPr>
        <w:ind w:left="-15" w:right="0"/>
      </w:pPr>
      <w:r>
        <w:t xml:space="preserve">Aquisição de mesas de escritório, mesas de apoio, longarina de 3 lugares, cadeiras de escritório, cadeiras presidente e armários para Câmara de Vereadores de </w:t>
      </w:r>
      <w:r>
        <w:t xml:space="preserve">Canguçu, por meio de Pregão Eletrônico, conforme condições, quantidades e exigências estabelecidas no termo de Referência e Edital.  </w:t>
      </w:r>
    </w:p>
    <w:p w:rsidR="00DD7A27" w:rsidRDefault="005D3C1C">
      <w:pPr>
        <w:ind w:left="566" w:right="0" w:firstLine="0"/>
      </w:pPr>
      <w:r>
        <w:t xml:space="preserve">Descrição dos itens:  </w:t>
      </w:r>
    </w:p>
    <w:tbl>
      <w:tblPr>
        <w:tblStyle w:val="TableGrid"/>
        <w:tblW w:w="10341" w:type="dxa"/>
        <w:tblInd w:w="10" w:type="dxa"/>
        <w:tblCellMar>
          <w:top w:w="134" w:type="dxa"/>
          <w:left w:w="9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1126"/>
        <w:gridCol w:w="6096"/>
        <w:gridCol w:w="1417"/>
        <w:gridCol w:w="1702"/>
      </w:tblGrid>
      <w:tr w:rsidR="00DD7A27">
        <w:trPr>
          <w:trHeight w:val="134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ITEM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7A27" w:rsidRDefault="005D3C1C">
            <w:pPr>
              <w:spacing w:after="0" w:line="259" w:lineRule="auto"/>
              <w:ind w:left="1552" w:right="1548" w:firstLine="0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DESCRIÇÃO/ ESPECIFICAÇÃO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UNIDADE DE MEDIDA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left="65" w:right="0" w:firstLine="0"/>
              <w:jc w:val="left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QUANTIDADE </w:t>
            </w:r>
          </w:p>
        </w:tc>
      </w:tr>
      <w:tr w:rsidR="00DD7A27">
        <w:trPr>
          <w:trHeight w:val="369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8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1 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7A27" w:rsidRDefault="005D3C1C">
            <w:pPr>
              <w:spacing w:after="0" w:line="259" w:lineRule="auto"/>
              <w:ind w:right="49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Mesa de escritório em formato “L”, na cor branca, com dimensões de 1,60 m × 1,60 m, e altura aproximada de 0,75 m, confeccionada em mdf ou mdp, com tampo de espessura mínima de 20 mm, reforçado e resistente, proporcionando firmeza e estabilidade ao conjunt</w:t>
            </w:r>
            <w:r>
              <w:rPr>
                <w:rFonts w:ascii="Calibri" w:eastAsia="Calibri" w:hAnsi="Calibri" w:cs="Calibri"/>
              </w:rPr>
              <w:t>o. Dotada de 02 (duas) gavetas com chave, pés ou sapatas niveladoras para ajuste e estabilidade sobre o piso, acabamento na cor branca, com superfície resistente, de fácil limpeza e manutenção, adequada ao uso contínuo em ambiente administrativo. O conjunt</w:t>
            </w:r>
            <w:r>
              <w:rPr>
                <w:rFonts w:ascii="Calibri" w:eastAsia="Calibri" w:hAnsi="Calibri" w:cs="Calibri"/>
              </w:rPr>
              <w:t>o deverá ser fornecido com todos os componentes necessários à montagem e utilização, apresentando acabamento uniforme, estrutura firme e estável e solução construtiva compatível com as características e dimensões especificadas. – no valor já deve estar inc</w:t>
            </w:r>
            <w:r>
              <w:rPr>
                <w:rFonts w:ascii="Calibri" w:eastAsia="Calibri" w:hAnsi="Calibri" w:cs="Calibri"/>
              </w:rPr>
              <w:t xml:space="preserve">lusa a montagem.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5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 UN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6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05 </w:t>
            </w:r>
          </w:p>
        </w:tc>
      </w:tr>
      <w:tr w:rsidR="00DD7A27">
        <w:trPr>
          <w:trHeight w:val="4229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8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 xml:space="preserve">2 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Mesa de escritório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Cor: Branco ou Cristal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Material: MDF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Tampo: 1,20x 0,60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Altura: aproximadamente 75cm 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Espessura do tampo: MDF no mínimo 20 mm reforçado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Estrutura metálica com pintura epóxi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Acabamento: Pintura UV de alta resistência fosco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Pés com nivelador para melhor estabilidade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Duas gavetas com chave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Estrutura firme e estável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Design moderno e funcional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Fácil limpeza e manutenção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Alta durabilidade e resistência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>Espaço para computador</w:t>
            </w:r>
            <w:r>
              <w:rPr>
                <w:rFonts w:ascii="Calibri" w:eastAsia="Calibri" w:hAnsi="Calibri" w:cs="Calibri"/>
              </w:rPr>
              <w:t xml:space="preserve">, monitor e materiais de trabalho.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5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UN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6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10 </w:t>
            </w:r>
          </w:p>
        </w:tc>
      </w:tr>
    </w:tbl>
    <w:p w:rsidR="00DD7A27" w:rsidRDefault="00DD7A27">
      <w:pPr>
        <w:spacing w:after="0" w:line="259" w:lineRule="auto"/>
        <w:ind w:left="-1440" w:right="10807" w:firstLine="0"/>
        <w:jc w:val="left"/>
      </w:pPr>
    </w:p>
    <w:tbl>
      <w:tblPr>
        <w:tblStyle w:val="TableGrid"/>
        <w:tblW w:w="10341" w:type="dxa"/>
        <w:tblInd w:w="10" w:type="dxa"/>
        <w:tblCellMar>
          <w:top w:w="134" w:type="dxa"/>
          <w:left w:w="9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1126"/>
        <w:gridCol w:w="6097"/>
        <w:gridCol w:w="1417"/>
        <w:gridCol w:w="1702"/>
      </w:tblGrid>
      <w:tr w:rsidR="00DD7A27">
        <w:trPr>
          <w:trHeight w:val="2088"/>
        </w:trPr>
        <w:tc>
          <w:tcPr>
            <w:tcW w:w="1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5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3 </w:t>
            </w:r>
          </w:p>
        </w:tc>
        <w:tc>
          <w:tcPr>
            <w:tcW w:w="6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Mesa operacional reta padrão corporativo/home office. </w:t>
            </w:r>
          </w:p>
          <w:p w:rsidR="00DD7A27" w:rsidRDefault="005D3C1C">
            <w:pPr>
              <w:spacing w:after="0" w:line="239" w:lineRule="auto"/>
              <w:ind w:right="0" w:firstLine="0"/>
            </w:pPr>
            <w:r>
              <w:rPr>
                <w:rFonts w:ascii="Calibri" w:eastAsia="Calibri" w:hAnsi="Calibri" w:cs="Calibri"/>
              </w:rPr>
              <w:t xml:space="preserve">Tampo confeccionado em MDP ou MDF de 15mm de espessura com revestimento melamínico BP na cor branca. 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Acabamento: Perfil Ergosoft 180°; </w:t>
            </w:r>
          </w:p>
          <w:p w:rsidR="00DD7A27" w:rsidRDefault="005D3C1C">
            <w:pPr>
              <w:spacing w:after="0" w:line="259" w:lineRule="auto"/>
              <w:ind w:right="48" w:firstLine="0"/>
            </w:pPr>
            <w:r>
              <w:rPr>
                <w:rFonts w:ascii="Calibri" w:eastAsia="Calibri" w:hAnsi="Calibri" w:cs="Calibri"/>
              </w:rPr>
              <w:t xml:space="preserve">Base inferior dotada de sapatas ou ponteiras niveladoras reguláveis para correção de imperfeições no piso.  Dimensões: 0,60m x 0,40m x 0.75m de altura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UN </w:t>
            </w:r>
          </w:p>
        </w:tc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3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02 </w:t>
            </w:r>
          </w:p>
        </w:tc>
      </w:tr>
      <w:tr w:rsidR="00DD7A27">
        <w:trPr>
          <w:trHeight w:val="3154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5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4 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Longarina com 3(três) assentos.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Assento: mínimo de 44cm x 40cm com bordas arredondadas. 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Encosto: mínimo de 41cm x 34cm com curvatura lombar.  </w:t>
            </w:r>
          </w:p>
          <w:p w:rsidR="00DD7A27" w:rsidRDefault="005D3C1C">
            <w:pPr>
              <w:spacing w:after="0" w:line="23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Estofamento em espuma injetada com no mínimo 40mm de espessura. </w:t>
            </w:r>
          </w:p>
          <w:p w:rsidR="00DD7A27" w:rsidRDefault="005D3C1C">
            <w:pPr>
              <w:spacing w:after="0" w:line="239" w:lineRule="auto"/>
              <w:ind w:right="51" w:firstLine="0"/>
            </w:pPr>
            <w:r>
              <w:rPr>
                <w:rFonts w:ascii="Calibri" w:eastAsia="Calibri" w:hAnsi="Calibri" w:cs="Calibri"/>
              </w:rPr>
              <w:t xml:space="preserve">Base fixa, tubo retangular 50cm x 30cm pintado em epóxi preto fosco com tratamento anticorrosivo com ponteiras de proteção em nylon. </w:t>
            </w:r>
          </w:p>
          <w:p w:rsidR="00DD7A27" w:rsidRDefault="005D3C1C">
            <w:pPr>
              <w:spacing w:after="0" w:line="239" w:lineRule="auto"/>
              <w:ind w:right="0" w:firstLine="0"/>
            </w:pPr>
            <w:r>
              <w:rPr>
                <w:rFonts w:ascii="Calibri" w:eastAsia="Calibri" w:hAnsi="Calibri" w:cs="Calibri"/>
              </w:rPr>
              <w:t xml:space="preserve">Revestimento em couro sintético ou ecológico, na cor preta, de alta durabilidade.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Capacidade mínima de peso por acento 110kg.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UN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3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01 </w:t>
            </w:r>
          </w:p>
        </w:tc>
      </w:tr>
      <w:tr w:rsidR="00DD7A27">
        <w:trPr>
          <w:trHeight w:val="6918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5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5 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7A27" w:rsidRDefault="005D3C1C">
            <w:pPr>
              <w:spacing w:after="0" w:line="239" w:lineRule="auto"/>
              <w:ind w:right="47" w:firstLine="0"/>
            </w:pPr>
            <w:r>
              <w:rPr>
                <w:rFonts w:ascii="Calibri" w:eastAsia="Calibri" w:hAnsi="Calibri" w:cs="Calibri"/>
              </w:rPr>
              <w:t xml:space="preserve">Cadeira giratória ergonômica de alto desempenho para escritório e ambientes de uso intensivo (tipo executiva / call center), na cor preta, com revestimento em couro (sintético/PU ou ecológico), equipada com mecanismo de regulagem Back System (regulagem de </w:t>
            </w:r>
            <w:r>
              <w:rPr>
                <w:rFonts w:ascii="Calibri" w:eastAsia="Calibri" w:hAnsi="Calibri" w:cs="Calibri"/>
              </w:rPr>
              <w:t xml:space="preserve">altura e inclinação do encosto independentes), braços reguláveis. </w:t>
            </w:r>
          </w:p>
          <w:p w:rsidR="00DD7A27" w:rsidRDefault="005D3C1C">
            <w:pPr>
              <w:spacing w:after="0" w:line="239" w:lineRule="auto"/>
              <w:ind w:right="49" w:firstLine="0"/>
            </w:pPr>
            <w:r>
              <w:rPr>
                <w:rFonts w:ascii="Calibri" w:eastAsia="Calibri" w:hAnsi="Calibri" w:cs="Calibri"/>
              </w:rPr>
              <w:t xml:space="preserve">Revestimento do assento e encosto em couro sintético / PU (Poliuretano) ou couro ecológico/similares de alta resistência, na cor Preta. </w:t>
            </w:r>
          </w:p>
          <w:p w:rsidR="00DD7A27" w:rsidRDefault="005D3C1C">
            <w:pPr>
              <w:spacing w:after="0" w:line="239" w:lineRule="auto"/>
              <w:ind w:right="0" w:firstLine="0"/>
            </w:pPr>
            <w:r>
              <w:rPr>
                <w:rFonts w:ascii="Calibri" w:eastAsia="Calibri" w:hAnsi="Calibri" w:cs="Calibri"/>
              </w:rPr>
              <w:t xml:space="preserve">Material impermeável, lavável, de fácil assepsia e manutenção, sem imperfeições de acabamento ou costura.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Encosto: </w:t>
            </w:r>
          </w:p>
          <w:p w:rsidR="00DD7A27" w:rsidRDefault="005D3C1C">
            <w:pPr>
              <w:spacing w:after="0" w:line="239" w:lineRule="auto"/>
              <w:ind w:right="0" w:firstLine="0"/>
            </w:pPr>
            <w:r>
              <w:rPr>
                <w:rFonts w:ascii="Calibri" w:eastAsia="Calibri" w:hAnsi="Calibri" w:cs="Calibri"/>
              </w:rPr>
              <w:t xml:space="preserve">Estofado interno em espuma injetada anatômica de poliuretano (PU) de alta densidade (mínimo de 40 kg/m³).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>Dimensões mínimas: 380 mm (largu</w:t>
            </w:r>
            <w:r>
              <w:rPr>
                <w:rFonts w:ascii="Calibri" w:eastAsia="Calibri" w:hAnsi="Calibri" w:cs="Calibri"/>
              </w:rPr>
              <w:t xml:space="preserve">ra) x 300 mm (altura). </w:t>
            </w:r>
          </w:p>
          <w:p w:rsidR="00DD7A27" w:rsidRDefault="005D3C1C">
            <w:pPr>
              <w:spacing w:after="0" w:line="239" w:lineRule="auto"/>
              <w:ind w:right="0" w:firstLine="0"/>
            </w:pPr>
            <w:r>
              <w:rPr>
                <w:rFonts w:ascii="Calibri" w:eastAsia="Calibri" w:hAnsi="Calibri" w:cs="Calibri"/>
              </w:rPr>
              <w:t xml:space="preserve">Regulagem de altura do encosto por meio de sistema de catraca automática ou alavanca manual. </w:t>
            </w:r>
          </w:p>
          <w:p w:rsidR="00DD7A27" w:rsidRDefault="005D3C1C">
            <w:pPr>
              <w:spacing w:after="0" w:line="239" w:lineRule="auto"/>
              <w:ind w:right="0" w:firstLine="0"/>
            </w:pPr>
            <w:r>
              <w:rPr>
                <w:rFonts w:ascii="Calibri" w:eastAsia="Calibri" w:hAnsi="Calibri" w:cs="Calibri"/>
              </w:rPr>
              <w:t xml:space="preserve">Regulagem de inclinação e angulação do encosto em relação ao assento (mecanismo Back System).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Assento: </w:t>
            </w:r>
          </w:p>
          <w:p w:rsidR="00DD7A27" w:rsidRDefault="005D3C1C">
            <w:pPr>
              <w:spacing w:after="0" w:line="239" w:lineRule="auto"/>
              <w:ind w:right="49" w:firstLine="0"/>
            </w:pPr>
            <w:r>
              <w:rPr>
                <w:rFonts w:ascii="Calibri" w:eastAsia="Calibri" w:hAnsi="Calibri" w:cs="Calibri"/>
              </w:rPr>
              <w:t>Estofado interno em espuma injeta</w:t>
            </w:r>
            <w:r>
              <w:rPr>
                <w:rFonts w:ascii="Calibri" w:eastAsia="Calibri" w:hAnsi="Calibri" w:cs="Calibri"/>
              </w:rPr>
              <w:t xml:space="preserve">da anatômica de poliuretano (PU) de alta densidade (mínimo de 40 kg/m³), com borda frontal arredondada para evitar compressão dos membros inferiores. Dimensões mínimas: 450 mm (largura) x 400 mm (profundidade).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>Regulagem de altura do assento à gás (pistão</w:t>
            </w:r>
            <w:r>
              <w:rPr>
                <w:rFonts w:ascii="Calibri" w:eastAsia="Calibri" w:hAnsi="Calibri" w:cs="Calibri"/>
              </w:rPr>
              <w:t xml:space="preserve"> classe 3 ou superior)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UN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3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05 </w:t>
            </w:r>
          </w:p>
        </w:tc>
      </w:tr>
    </w:tbl>
    <w:p w:rsidR="00DD7A27" w:rsidRDefault="00DD7A27">
      <w:pPr>
        <w:spacing w:after="0" w:line="259" w:lineRule="auto"/>
        <w:ind w:left="-1440" w:right="10807" w:firstLine="0"/>
        <w:jc w:val="left"/>
      </w:pPr>
    </w:p>
    <w:tbl>
      <w:tblPr>
        <w:tblStyle w:val="TableGrid"/>
        <w:tblW w:w="10341" w:type="dxa"/>
        <w:tblInd w:w="10" w:type="dxa"/>
        <w:tblCellMar>
          <w:top w:w="132" w:type="dxa"/>
          <w:left w:w="9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1126"/>
        <w:gridCol w:w="6097"/>
        <w:gridCol w:w="1417"/>
        <w:gridCol w:w="1702"/>
      </w:tblGrid>
      <w:tr w:rsidR="00DD7A27">
        <w:trPr>
          <w:trHeight w:val="5581"/>
        </w:trPr>
        <w:tc>
          <w:tcPr>
            <w:tcW w:w="1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DD7A2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7A27" w:rsidRDefault="005D3C1C">
            <w:pPr>
              <w:spacing w:after="0" w:line="23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acionada por alavanca lateral, com curso mínimo de regulagem de 100 mm.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Mecanismo e Ergonomia: </w:t>
            </w:r>
          </w:p>
          <w:p w:rsidR="00DD7A27" w:rsidRDefault="005D3C1C">
            <w:pPr>
              <w:spacing w:after="0" w:line="23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Mecanismo </w:t>
            </w:r>
            <w:r>
              <w:rPr>
                <w:rFonts w:ascii="Calibri" w:eastAsia="Calibri" w:hAnsi="Calibri" w:cs="Calibri"/>
              </w:rPr>
              <w:tab/>
              <w:t xml:space="preserve">do </w:t>
            </w:r>
            <w:r>
              <w:rPr>
                <w:rFonts w:ascii="Calibri" w:eastAsia="Calibri" w:hAnsi="Calibri" w:cs="Calibri"/>
              </w:rPr>
              <w:tab/>
              <w:t xml:space="preserve">tipo </w:t>
            </w:r>
            <w:r>
              <w:rPr>
                <w:rFonts w:ascii="Calibri" w:eastAsia="Calibri" w:hAnsi="Calibri" w:cs="Calibri"/>
              </w:rPr>
              <w:tab/>
              <w:t xml:space="preserve">Back </w:t>
            </w:r>
            <w:r>
              <w:rPr>
                <w:rFonts w:ascii="Calibri" w:eastAsia="Calibri" w:hAnsi="Calibri" w:cs="Calibri"/>
              </w:rPr>
              <w:tab/>
              <w:t xml:space="preserve">System, </w:t>
            </w:r>
            <w:r>
              <w:rPr>
                <w:rFonts w:ascii="Calibri" w:eastAsia="Calibri" w:hAnsi="Calibri" w:cs="Calibri"/>
              </w:rPr>
              <w:tab/>
              <w:t xml:space="preserve">com </w:t>
            </w:r>
            <w:r>
              <w:rPr>
                <w:rFonts w:ascii="Calibri" w:eastAsia="Calibri" w:hAnsi="Calibri" w:cs="Calibri"/>
              </w:rPr>
              <w:tab/>
              <w:t xml:space="preserve">duas </w:t>
            </w:r>
            <w:r>
              <w:rPr>
                <w:rFonts w:ascii="Calibri" w:eastAsia="Calibri" w:hAnsi="Calibri" w:cs="Calibri"/>
              </w:rPr>
              <w:tab/>
              <w:t xml:space="preserve">alavancas independentes: uma para ajuste da altura do assento e outra para ajuste e travamento da inclinação do encosto em múltiplas posições.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Braços: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Par de braços ergonômicos com regulagem de altura. </w:t>
            </w:r>
          </w:p>
          <w:p w:rsidR="00DD7A27" w:rsidRDefault="005D3C1C">
            <w:pPr>
              <w:spacing w:after="0" w:line="239" w:lineRule="auto"/>
              <w:ind w:right="0" w:firstLine="0"/>
            </w:pPr>
            <w:r>
              <w:rPr>
                <w:rFonts w:ascii="Calibri" w:eastAsia="Calibri" w:hAnsi="Calibri" w:cs="Calibri"/>
              </w:rPr>
              <w:t>Ap</w:t>
            </w:r>
            <w:r>
              <w:rPr>
                <w:rFonts w:ascii="Calibri" w:eastAsia="Calibri" w:hAnsi="Calibri" w:cs="Calibri"/>
              </w:rPr>
              <w:t xml:space="preserve">oio dos braços estruturado em polipropileno de alta resistência. Base e Rodízios: </w:t>
            </w:r>
          </w:p>
          <w:p w:rsidR="00DD7A27" w:rsidRDefault="005D3C1C">
            <w:pPr>
              <w:spacing w:after="0" w:line="239" w:lineRule="auto"/>
              <w:ind w:right="51" w:firstLine="0"/>
            </w:pPr>
            <w:r>
              <w:rPr>
                <w:rFonts w:ascii="Calibri" w:eastAsia="Calibri" w:hAnsi="Calibri" w:cs="Calibri"/>
              </w:rPr>
              <w:t xml:space="preserve">Base giratória em formato estrela de 5 hastes, fabricada em nylon reforçado com fibra de vidro ou aço com capa injetada de polipropileno na cor preta. </w:t>
            </w:r>
          </w:p>
          <w:p w:rsidR="00DD7A27" w:rsidRDefault="005D3C1C">
            <w:pPr>
              <w:spacing w:after="0" w:line="239" w:lineRule="auto"/>
              <w:ind w:right="0" w:firstLine="0"/>
            </w:pPr>
            <w:r>
              <w:rPr>
                <w:rFonts w:ascii="Calibri" w:eastAsia="Calibri" w:hAnsi="Calibri" w:cs="Calibri"/>
              </w:rPr>
              <w:t xml:space="preserve">Rodízios duplos para </w:t>
            </w:r>
            <w:r>
              <w:rPr>
                <w:rFonts w:ascii="Calibri" w:eastAsia="Calibri" w:hAnsi="Calibri" w:cs="Calibri"/>
              </w:rPr>
              <w:t xml:space="preserve">piso frio/madeira, com diâmetro mínimo de 50 mm.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Capacidade de Carga: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Suporte para carga estática e dinâmica de no mínimo 120 kg.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Garantia mínima do fabricante de 12 (doze) meses.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DD7A2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DD7A27">
            <w:pPr>
              <w:spacing w:after="160" w:line="259" w:lineRule="auto"/>
              <w:ind w:right="0" w:firstLine="0"/>
              <w:jc w:val="left"/>
            </w:pPr>
          </w:p>
        </w:tc>
      </w:tr>
      <w:tr w:rsidR="00DD7A27">
        <w:trPr>
          <w:trHeight w:val="6109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8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6 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7A27" w:rsidRDefault="005D3C1C">
            <w:pPr>
              <w:spacing w:after="0" w:line="259" w:lineRule="auto"/>
              <w:ind w:right="49" w:firstLine="0"/>
            </w:pPr>
            <w:r>
              <w:rPr>
                <w:rFonts w:ascii="Calibri" w:eastAsia="Calibri" w:hAnsi="Calibri" w:cs="Calibri"/>
              </w:rPr>
              <w:t>Cadeira de escritório giratória tipo presidente, na cor preta, destinada a uso administrativo e corporativo, com estrutura interna do assento em madeira multilaminada de alta resistência, espessura mínima de 14 mm, ou material equivalente/superior; assento</w:t>
            </w:r>
            <w:r>
              <w:rPr>
                <w:rFonts w:ascii="Calibri" w:eastAsia="Calibri" w:hAnsi="Calibri" w:cs="Calibri"/>
              </w:rPr>
              <w:t xml:space="preserve"> estofado com espuma de densidade mínima D33 e encosto com espuma de densidade mínima D28; encosto reclinável, com mecanismo tipo Relax ou equivalente/superior, dotado de travamento na posição inicial e regulagem de tensão; sistema de regulagem pneumática </w:t>
            </w:r>
            <w:r>
              <w:rPr>
                <w:rFonts w:ascii="Calibri" w:eastAsia="Calibri" w:hAnsi="Calibri" w:cs="Calibri"/>
              </w:rPr>
              <w:t>da altura do assento por pistão a gás; braços fixos resistentes, com acabamento cromado ou equivalente; base giratória de cinco hastes em aço ou material de resistência equivalente/superior, com acabamento cromado; rodízios duplos de duplo giro, em poliure</w:t>
            </w:r>
            <w:r>
              <w:rPr>
                <w:rFonts w:ascii="Calibri" w:eastAsia="Calibri" w:hAnsi="Calibri" w:cs="Calibri"/>
              </w:rPr>
              <w:t>tano, nylon ou material equivalente, apropriados para pisos de escritório. Dimensões mínimas: altura total regulável de 115 a 125 cm, largura mínima de 62 cm, profundidade total mínimo de 62 cm e profundidade do assento mínimo de 49 cm; altura do assento a</w:t>
            </w:r>
            <w:r>
              <w:rPr>
                <w:rFonts w:ascii="Calibri" w:eastAsia="Calibri" w:hAnsi="Calibri" w:cs="Calibri"/>
              </w:rPr>
              <w:t>o piso regulável aproximadamente entre 45 e 55 cm; capacidade mínima de 130 kg. Deverá ser fornecida totalmente montada, alinhada e pronta para uso, sem necessidade de montagem pelo contratante. Produto novo, com garantia mínima de 12 meses e assistência t</w:t>
            </w:r>
            <w:r>
              <w:rPr>
                <w:rFonts w:ascii="Calibri" w:eastAsia="Calibri" w:hAnsi="Calibri" w:cs="Calibri"/>
              </w:rPr>
              <w:t xml:space="preserve">écnica/fornecimento de peças durante o período de garantia.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5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UN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6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05 </w:t>
            </w:r>
          </w:p>
        </w:tc>
      </w:tr>
      <w:tr w:rsidR="00DD7A27">
        <w:trPr>
          <w:trHeight w:val="1282"/>
        </w:trPr>
        <w:tc>
          <w:tcPr>
            <w:tcW w:w="1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6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7 </w:t>
            </w:r>
          </w:p>
        </w:tc>
        <w:tc>
          <w:tcPr>
            <w:tcW w:w="6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7A27" w:rsidRDefault="005D3C1C">
            <w:pPr>
              <w:spacing w:after="0" w:line="259" w:lineRule="auto"/>
              <w:ind w:right="50" w:firstLine="0"/>
            </w:pPr>
            <w:r>
              <w:rPr>
                <w:rFonts w:ascii="Calibri" w:eastAsia="Calibri" w:hAnsi="Calibri" w:cs="Calibri"/>
              </w:rPr>
              <w:t xml:space="preserve">Armário multiuso com estrutura em MDF ou MDP na cor branca, com espessura mínima de 15 mm, com duas portas dotadas de fechadura e chave. Com dimensões de no máximo 0,61 m de largura, no mínimo 0,35 m de profundidade e 1,60 m de altura.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8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UN </w:t>
            </w:r>
          </w:p>
        </w:tc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01 </w:t>
            </w:r>
          </w:p>
        </w:tc>
      </w:tr>
      <w:tr w:rsidR="00DD7A27">
        <w:trPr>
          <w:trHeight w:val="2888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6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8 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7A27" w:rsidRDefault="005D3C1C">
            <w:pPr>
              <w:spacing w:after="0" w:line="239" w:lineRule="auto"/>
              <w:ind w:right="50" w:firstLine="0"/>
            </w:pPr>
            <w:r>
              <w:rPr>
                <w:rFonts w:ascii="Calibri" w:eastAsia="Calibri" w:hAnsi="Calibri" w:cs="Calibri"/>
              </w:rPr>
              <w:t>Armário para escritório com estrutura em MDF ou MDP com espessura mínima de 18 mm, na cor branca. Possui duas portas com fechadura e chave, equipadas com puxadores metálicos ou na cor do móvel. Conta com prateleiras internas removíveis e ajustáveis e pés c</w:t>
            </w:r>
            <w:r>
              <w:rPr>
                <w:rFonts w:ascii="Calibri" w:eastAsia="Calibri" w:hAnsi="Calibri" w:cs="Calibri"/>
              </w:rPr>
              <w:t xml:space="preserve">om nivelador para melhor estabilidade. Dimensões aproximadas: largura de 80 cm a 95 cm, altura de 1,59 m a 1,68 m, e profundidade de 40 cm a 47 cm.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Largura: 95 cm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Altura: 1,60 m </w:t>
            </w:r>
          </w:p>
          <w:p w:rsidR="00DD7A27" w:rsidRDefault="005D3C1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Profundidade: 40 cm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8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UN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27" w:rsidRDefault="005D3C1C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03 </w:t>
            </w:r>
          </w:p>
        </w:tc>
      </w:tr>
    </w:tbl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pStyle w:val="Heading1"/>
        <w:ind w:left="705" w:hanging="360"/>
      </w:pPr>
      <w:r>
        <w:t xml:space="preserve">DESCRIÇÃO DA NECESSIDADE </w:t>
      </w:r>
    </w:p>
    <w:p w:rsidR="00DD7A27" w:rsidRDefault="005D3C1C">
      <w:pPr>
        <w:spacing w:after="103" w:line="259" w:lineRule="auto"/>
        <w:ind w:left="720" w:right="0" w:firstLine="0"/>
        <w:jc w:val="left"/>
      </w:pPr>
      <w:r>
        <w:rPr>
          <w:b/>
          <w:sz w:val="10"/>
        </w:rPr>
        <w:t xml:space="preserve"> </w:t>
      </w:r>
    </w:p>
    <w:p w:rsidR="00DD7A27" w:rsidRDefault="005D3C1C">
      <w:pPr>
        <w:ind w:left="-15" w:right="0"/>
      </w:pPr>
      <w:r>
        <w:t>A Câmara Municipal de Canguçu necessita adquirir mobiliário destinado aos setores administrativos e gabinetes, visando melhorar as condições de trabalho, organização dos ambientes e atendimento ao público. Atualmente, parte do mobiliário utilizado apresent</w:t>
      </w:r>
      <w:r>
        <w:t>a desgaste decorrente do uso contínuo e do decurso do tempo, apresentando comprometimento ergonômico e estrutural., sendo necessária sua substituição e complementação para garantir condições adequadas ao desenvolvimento das atividades administrativas e leg</w:t>
      </w:r>
      <w:r>
        <w:t xml:space="preserve">islativas. </w:t>
      </w:r>
    </w:p>
    <w:p w:rsidR="00DD7A27" w:rsidRDefault="005D3C1C">
      <w:pPr>
        <w:ind w:left="-15" w:right="0"/>
      </w:pPr>
      <w:r>
        <w:t>A aquisição de novas mesas, cadeiras, longarina e armários busca proporcionar maior conforto, ergonomia, funcionalidade e organização aos servidores e vereadores, além de possibilitar melhores condições para o armazenamento de documentos e mate</w:t>
      </w:r>
      <w:r>
        <w:t xml:space="preserve">riais de expediente. A renovação e complementação do mobiliário contribuirá para a melhoria dos ambientes de trabalho e para o adequado funcionamento dos setores da Câmara Municipal. </w:t>
      </w:r>
    </w:p>
    <w:p w:rsidR="00DD7A27" w:rsidRDefault="005D3C1C">
      <w:pPr>
        <w:ind w:left="-15" w:right="0"/>
      </w:pPr>
      <w:r>
        <w:t xml:space="preserve">Com a utilização contínua dos espaços e a necessidade de manter ambientes funcionais e adequados às atividades institucionais, torna-se necessária a aquisição de mobiliário com características de resistência, durabilidade, segurança e ergonomia, reduzindo </w:t>
      </w:r>
      <w:r>
        <w:t xml:space="preserve">a necessidade de substituições frequentes e proporcionando melhores condições para a execução dos serviços públicos. </w:t>
      </w:r>
    </w:p>
    <w:p w:rsidR="00DD7A27" w:rsidRDefault="005D3C1C">
      <w:pPr>
        <w:ind w:left="-15" w:right="0"/>
      </w:pPr>
      <w:r>
        <w:t>A aquisição será realizada por meio de Pregão Eletrônico, assegurando transparência, economicidade e melhor custo-benefício para o Poder L</w:t>
      </w:r>
      <w:r>
        <w:t>egislativo Municipal, observando as especificações e quantidades necessárias para atender à demanda apresentada. Dessa forma, a Câmara Municipal de Canguçu busca adequar e melhorar sua estrutura física, garantindo condições apropriadas para o desempenho da</w:t>
      </w:r>
      <w:r>
        <w:t xml:space="preserve">s atividades institucionais e para o atendimento à população.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pStyle w:val="Heading1"/>
        <w:ind w:left="705" w:hanging="360"/>
      </w:pPr>
      <w:r>
        <w:t xml:space="preserve">ÁREA REQUISITANTE </w:t>
      </w:r>
    </w:p>
    <w:p w:rsidR="00DD7A27" w:rsidRDefault="005D3C1C">
      <w:pPr>
        <w:spacing w:after="103" w:line="259" w:lineRule="auto"/>
        <w:ind w:left="720" w:right="0" w:firstLine="0"/>
        <w:jc w:val="left"/>
      </w:pPr>
      <w:r>
        <w:rPr>
          <w:b/>
          <w:sz w:val="10"/>
        </w:rPr>
        <w:t xml:space="preserve"> </w:t>
      </w:r>
    </w:p>
    <w:p w:rsidR="00DD7A27" w:rsidRDefault="005D3C1C">
      <w:pPr>
        <w:ind w:left="-15" w:right="0"/>
      </w:pPr>
      <w:r>
        <w:t>O presente Estudo Técnico Preliminar (ETP) fundamenta-se em um levantamento in loco realizado pela Coordenadora de Gabinete e Controle, Yasmin Köhler Eicholz, que efetuou</w:t>
      </w:r>
      <w:r>
        <w:t xml:space="preserve"> visitas técnicas a todos os setores administrativos, operacionais e gabinetes parlamentares que integram a estrutura da Câmara Municipal de Vereadores de Canguçu/RS.  </w:t>
      </w:r>
    </w:p>
    <w:p w:rsidR="00DD7A27" w:rsidRDefault="005D3C1C">
      <w:pPr>
        <w:ind w:left="-15" w:right="0"/>
      </w:pPr>
      <w:r>
        <w:t>A ação teve como objetivo diagnosticar as reais necessidades estruturais de cada unidad</w:t>
      </w:r>
      <w:r>
        <w:t xml:space="preserve">e funcional, mapeando o estado de conservação do mobiliário em uso e identificando déficits de postos de trabalho, gargalos de organização física e inconsistências ergonômicas.  </w:t>
      </w:r>
    </w:p>
    <w:p w:rsidR="00DD7A27" w:rsidRDefault="005D3C1C">
      <w:pPr>
        <w:ind w:left="-15" w:right="0"/>
      </w:pPr>
      <w:r>
        <w:t>Após a consolidação dos dados coletados durante as vistorias, procedeu-se à t</w:t>
      </w:r>
      <w:r>
        <w:t>riagem e ao dimensionamento exato dos bens estritamente necessários para suprir as demandas identificadas. Essa apuração criteriosa originou a quantificação e a especificação do mobiliário constante neste instrumento, assegurando que a futura contratação a</w:t>
      </w:r>
      <w:r>
        <w:t xml:space="preserve">tenda aos princípios da eficiência, racionalidade da despesa, evitando aquisições em excesso ou incompatíveis com as rotinas de trabalho do Poder Legislativo Municipal. 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pStyle w:val="Heading1"/>
        <w:ind w:left="705" w:hanging="360"/>
      </w:pPr>
      <w:r>
        <w:t xml:space="preserve">REQUISITOS DA CONTRATAÇÃO </w:t>
      </w:r>
    </w:p>
    <w:p w:rsidR="00DD7A27" w:rsidRDefault="005D3C1C">
      <w:pPr>
        <w:spacing w:after="103" w:line="259" w:lineRule="auto"/>
        <w:ind w:left="720" w:right="0" w:firstLine="0"/>
        <w:jc w:val="left"/>
      </w:pPr>
      <w:r>
        <w:rPr>
          <w:b/>
          <w:sz w:val="10"/>
        </w:rPr>
        <w:t xml:space="preserve"> </w:t>
      </w:r>
    </w:p>
    <w:p w:rsidR="00DD7A27" w:rsidRDefault="005D3C1C">
      <w:pPr>
        <w:ind w:left="-15" w:right="0" w:firstLine="427"/>
      </w:pPr>
      <w:r>
        <w:t>A Contratada deverá fornecer os móveis em estrita conf</w:t>
      </w:r>
      <w:r>
        <w:t xml:space="preserve">ormidade com as especificações técnicas descritas neste Estudo Técnico Preliminar, no Termo de Referência e no Edital do Pregão Eletrônico nº 03/2026 (Processo nº 017/2026). </w:t>
      </w:r>
    </w:p>
    <w:p w:rsidR="00DD7A27" w:rsidRDefault="005D3C1C">
      <w:pPr>
        <w:ind w:left="-15" w:right="0" w:firstLine="427"/>
      </w:pPr>
      <w:r>
        <w:t>A solução abrange o fornecimento exclusivamente de móveis novos, de primeiro uso,</w:t>
      </w:r>
      <w:r>
        <w:t xml:space="preserve"> em linha de fabricação corrente (sendo vedado o fornecimento de móveis ou componentes reformados, remanufaturados ou recondicionados). Os bens deverão ser entregues em suas embalagens originais de fábrica, lacradas e adequadas para garantir a proteção con</w:t>
      </w:r>
      <w:r>
        <w:t xml:space="preserve">tra avarias, umidade e danos durante o transporte, carga e descarga. </w:t>
      </w:r>
    </w:p>
    <w:p w:rsidR="00DD7A27" w:rsidRDefault="005D3C1C">
      <w:pPr>
        <w:ind w:left="-15" w:right="0" w:firstLine="427"/>
      </w:pPr>
      <w:r>
        <w:t xml:space="preserve">A Contratada responderá integralmente por todos os custos operacionais, tributários, de frete (sistema CIF), descarga, movimentação interna e montagem completa do mobiliário. </w:t>
      </w:r>
    </w:p>
    <w:p w:rsidR="00DD7A27" w:rsidRDefault="005D3C1C">
      <w:pPr>
        <w:numPr>
          <w:ilvl w:val="0"/>
          <w:numId w:val="1"/>
        </w:numPr>
        <w:spacing w:after="3" w:line="259" w:lineRule="auto"/>
        <w:ind w:right="-8" w:firstLine="427"/>
        <w:jc w:val="right"/>
      </w:pPr>
      <w:r>
        <w:t>Endereço d</w:t>
      </w:r>
      <w:r>
        <w:t xml:space="preserve">e Entrega: Sede da Câmara Municipal de Vereadores de Canguçu, situada na </w:t>
      </w:r>
    </w:p>
    <w:p w:rsidR="00DD7A27" w:rsidRDefault="005D3C1C">
      <w:pPr>
        <w:ind w:left="-15" w:right="0" w:firstLine="0"/>
      </w:pPr>
      <w:r>
        <w:t xml:space="preserve">Rua General Osório, nº 979, Bairro Centro, Canguçu/RS; </w:t>
      </w:r>
    </w:p>
    <w:p w:rsidR="00DD7A27" w:rsidRDefault="005D3C1C">
      <w:pPr>
        <w:numPr>
          <w:ilvl w:val="0"/>
          <w:numId w:val="1"/>
        </w:numPr>
        <w:spacing w:after="3" w:line="259" w:lineRule="auto"/>
        <w:ind w:right="-8" w:firstLine="427"/>
        <w:jc w:val="right"/>
      </w:pPr>
      <w:r>
        <w:t xml:space="preserve">Horário de Recebimento: Dias úteis, durante o expediente institucional, das 08h30min às </w:t>
      </w:r>
    </w:p>
    <w:p w:rsidR="00DD7A27" w:rsidRDefault="005D3C1C">
      <w:pPr>
        <w:ind w:left="-15" w:right="0" w:firstLine="0"/>
      </w:pPr>
      <w:r>
        <w:t xml:space="preserve">11h30min e das 13h00min às 16h00min; </w:t>
      </w:r>
    </w:p>
    <w:p w:rsidR="00DD7A27" w:rsidRDefault="005D3C1C">
      <w:pPr>
        <w:numPr>
          <w:ilvl w:val="0"/>
          <w:numId w:val="1"/>
        </w:numPr>
        <w:ind w:right="-8" w:firstLine="427"/>
        <w:jc w:val="right"/>
      </w:pPr>
      <w:r>
        <w:t>Montagem e Instalação: O fornecimento inclui a montagem integral dos móveis nos respetivos setores e gabinetes, o ajuste/alinhamento das peças e o recolhimento e destinação ambientalmente adequada de todos os resíduos de embalagens (caixas, plásticos, fit</w:t>
      </w:r>
      <w:r>
        <w:t xml:space="preserve">as e isopores). </w:t>
      </w:r>
    </w:p>
    <w:p w:rsidR="00DD7A27" w:rsidRDefault="005D3C1C">
      <w:pPr>
        <w:ind w:left="-15" w:right="0" w:firstLine="427"/>
      </w:pPr>
      <w:r>
        <w:t xml:space="preserve">O prazo máximo para entrega e montagem completa dos bens será de até 30 (trinta) dias corridos, contados a partir do recebimento oficial da Nota de Empenho ou da Ordem de Fornecimento emitida pela Câmara Municipal. </w:t>
      </w:r>
    </w:p>
    <w:p w:rsidR="00DD7A27" w:rsidRDefault="005D3C1C">
      <w:pPr>
        <w:ind w:left="-15" w:right="0" w:firstLine="427"/>
      </w:pPr>
      <w:r>
        <w:t>Os móveis poderão ser r</w:t>
      </w:r>
      <w:r>
        <w:t xml:space="preserve">ejeitados, no todo ou em parte, quando entregues em desacordo com as especificações exigidas, com defeitos de fabricação ou com avarias decorrentes do transporte/montagem.  </w:t>
      </w:r>
    </w:p>
    <w:p w:rsidR="00DD7A27" w:rsidRDefault="005D3C1C">
      <w:pPr>
        <w:ind w:left="-15" w:right="0" w:firstLine="427"/>
      </w:pPr>
      <w:r>
        <w:t>a) Em caso de rejeição, a Contratada será notificada e deverá providenciar a subst</w:t>
      </w:r>
      <w:r>
        <w:t xml:space="preserve">ituição ou correção do bem no prazo máximo de 10 (dez) dias úteis, às suas expensas, sem prejuízo da aplicação das penalidades administrativas cabíveis. </w:t>
      </w:r>
    </w:p>
    <w:p w:rsidR="00DD7A27" w:rsidRDefault="005D3C1C">
      <w:pPr>
        <w:ind w:left="-15" w:right="0" w:firstLine="427"/>
      </w:pPr>
      <w:r>
        <w:t xml:space="preserve">O recebimento provisório ou definitivo não exclui nem reduz a responsabilidade civil e administrativa </w:t>
      </w:r>
      <w:r>
        <w:t xml:space="preserve">da Contratada por vícios ocultos, defeitos de fabricação ou pela incorreta execução do objeto contratado. </w:t>
      </w:r>
    </w:p>
    <w:p w:rsidR="00DD7A27" w:rsidRDefault="005D3C1C">
      <w:pPr>
        <w:ind w:left="427" w:right="0" w:firstLine="0"/>
      </w:pPr>
      <w:r>
        <w:t xml:space="preserve">Garantia: </w:t>
      </w:r>
    </w:p>
    <w:p w:rsidR="00DD7A27" w:rsidRDefault="005D3C1C">
      <w:pPr>
        <w:numPr>
          <w:ilvl w:val="0"/>
          <w:numId w:val="2"/>
        </w:numPr>
        <w:ind w:right="0" w:firstLine="427"/>
      </w:pPr>
      <w:r>
        <w:t xml:space="preserve">Prazo de Garantia: O prazo de garantia técnica dos móveis será de, no mínimo, 12 (doze) meses, contados a partir do primeiro dia útil subsequente à data do aceite e recebimento definitivo do objeto; </w:t>
      </w:r>
    </w:p>
    <w:p w:rsidR="00DD7A27" w:rsidRDefault="005D3C1C">
      <w:pPr>
        <w:numPr>
          <w:ilvl w:val="0"/>
          <w:numId w:val="2"/>
        </w:numPr>
        <w:ind w:right="0" w:firstLine="427"/>
      </w:pPr>
      <w:r>
        <w:t>Prazo de Reparo ou Substituição: Uma vez notificada sobr</w:t>
      </w:r>
      <w:r>
        <w:t xml:space="preserve">e qualquer vício ou defeito apresentado pelo móvel durante o período de garantia, a Contratada deverá efetuar o reparo ou a substituição completa do bem no prazo máximo de até 15 (quinze) dias úteis; </w:t>
      </w:r>
    </w:p>
    <w:p w:rsidR="00DD7A27" w:rsidRDefault="005D3C1C">
      <w:pPr>
        <w:numPr>
          <w:ilvl w:val="0"/>
          <w:numId w:val="2"/>
        </w:numPr>
        <w:ind w:right="0" w:firstLine="427"/>
      </w:pPr>
      <w:r>
        <w:t>Prorrogação Excepcional: O prazo fixado na alínea "b" p</w:t>
      </w:r>
      <w:r>
        <w:t xml:space="preserve">oderá ser prorrogado uma única vez, por igual período, mediante solicitação formal e devidamente justificada da Contratada, aceita formalmente pela Administração; </w:t>
      </w:r>
    </w:p>
    <w:p w:rsidR="00DD7A27" w:rsidRDefault="005D3C1C">
      <w:pPr>
        <w:numPr>
          <w:ilvl w:val="0"/>
          <w:numId w:val="2"/>
        </w:numPr>
        <w:ind w:right="0" w:firstLine="427"/>
      </w:pPr>
      <w:r>
        <w:t>Custos da Garantia: Todas as despesas decorrentes de deslocamento de técnicos, frete, transp</w:t>
      </w:r>
      <w:r>
        <w:t xml:space="preserve">orte, peças e mão de obra para atendimento da garantia correrão por conta exclusiva da Contratada.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pStyle w:val="Heading1"/>
        <w:ind w:left="705" w:hanging="360"/>
      </w:pPr>
      <w:r>
        <w:t xml:space="preserve">LEVANTAMENTO DE MERCADO </w:t>
      </w:r>
    </w:p>
    <w:p w:rsidR="00DD7A27" w:rsidRDefault="005D3C1C">
      <w:pPr>
        <w:spacing w:after="103" w:line="259" w:lineRule="auto"/>
        <w:ind w:left="360" w:right="0" w:firstLine="0"/>
        <w:jc w:val="left"/>
      </w:pPr>
      <w:r>
        <w:rPr>
          <w:b/>
          <w:sz w:val="10"/>
        </w:rPr>
        <w:t xml:space="preserve"> </w:t>
      </w:r>
    </w:p>
    <w:p w:rsidR="00DD7A27" w:rsidRDefault="005D3C1C">
      <w:pPr>
        <w:ind w:left="-15" w:right="0"/>
      </w:pPr>
      <w:r>
        <w:t xml:space="preserve">Durante a fase de planejamento, foram analisadas as seguintes opções para atendimento da demanda: </w:t>
      </w:r>
    </w:p>
    <w:p w:rsidR="00DD7A27" w:rsidRDefault="005D3C1C">
      <w:pPr>
        <w:numPr>
          <w:ilvl w:val="0"/>
          <w:numId w:val="3"/>
        </w:numPr>
        <w:ind w:right="0" w:firstLine="0"/>
      </w:pPr>
      <w:r>
        <w:rPr>
          <w:u w:val="single" w:color="000000"/>
        </w:rPr>
        <w:t>Alternativa A</w:t>
      </w:r>
      <w:r>
        <w:t xml:space="preserve"> </w:t>
      </w:r>
      <w:r>
        <w:t>–</w:t>
      </w:r>
      <w:r>
        <w:t xml:space="preserve"> </w:t>
      </w:r>
      <w:r>
        <w:t>Reformar o mobiliário existente: Avaliou-se a viabilidade técnica de reforma. Contudo, constatou-se que grande parte do mobiliário atual apresenta fadiga estrutural e incompatibilidade ergonômica com as normas atuais (NR-17), tornando a reforma economicame</w:t>
      </w:r>
      <w:r>
        <w:t xml:space="preserve">nte desvantajosa e sem garantia de durabilidade. </w:t>
      </w:r>
    </w:p>
    <w:p w:rsidR="00DD7A27" w:rsidRDefault="005D3C1C">
      <w:pPr>
        <w:numPr>
          <w:ilvl w:val="0"/>
          <w:numId w:val="3"/>
        </w:numPr>
        <w:ind w:right="0" w:firstLine="0"/>
      </w:pPr>
      <w:r>
        <w:rPr>
          <w:u w:val="single" w:color="000000"/>
        </w:rPr>
        <w:t>Alternativa B</w:t>
      </w:r>
      <w:r>
        <w:t xml:space="preserve"> </w:t>
      </w:r>
      <w:r>
        <w:t>–</w:t>
      </w:r>
      <w:r>
        <w:t xml:space="preserve"> Locação de móveis: A locação gera um custo continuado sem incorporação ao patrimônio público, sendo economicamente ineficiente para necessidades permanentes da Administração Pública. </w:t>
      </w:r>
    </w:p>
    <w:p w:rsidR="00DD7A27" w:rsidRDefault="005D3C1C">
      <w:pPr>
        <w:numPr>
          <w:ilvl w:val="0"/>
          <w:numId w:val="3"/>
        </w:numPr>
        <w:ind w:right="0" w:firstLine="0"/>
      </w:pPr>
      <w:r>
        <w:rPr>
          <w:u w:val="single" w:color="000000"/>
        </w:rPr>
        <w:t>Altern</w:t>
      </w:r>
      <w:r>
        <w:rPr>
          <w:u w:val="single" w:color="000000"/>
        </w:rPr>
        <w:t>ativa C</w:t>
      </w:r>
      <w:r>
        <w:t xml:space="preserve"> </w:t>
      </w:r>
      <w:r>
        <w:t>–</w:t>
      </w:r>
      <w:r>
        <w:t xml:space="preserve"> Aquisição de móveis novos (Solução Escolhida): A aquisição via licitação de móveis novos padronizados garante durabilidade, conformidade ergonômica, uniformidade estético-visual, garantia de fábrica (mínima de 12 meses) e melhor aproveitamento do</w:t>
      </w:r>
      <w:r>
        <w:t xml:space="preserve"> recurso público. </w:t>
      </w:r>
    </w:p>
    <w:p w:rsidR="00DD7A27" w:rsidRDefault="005D3C1C">
      <w:pPr>
        <w:ind w:left="-15" w:right="0"/>
      </w:pPr>
      <w:r>
        <w:t xml:space="preserve">A estimativa do valor da contratação foi realizada mediante pesquisa de preços direta na </w:t>
      </w:r>
      <w:r>
        <w:rPr>
          <w:i/>
        </w:rPr>
        <w:t>internet</w:t>
      </w:r>
      <w:r>
        <w:t xml:space="preserve">, em sítios eletrônicos especializados e de domínio amplo. </w:t>
      </w:r>
    </w:p>
    <w:p w:rsidR="00DD7A27" w:rsidRDefault="005D3C1C">
      <w:pPr>
        <w:ind w:left="-15" w:right="0"/>
      </w:pPr>
      <w:r>
        <w:t>Para a composição dos custos unitários de referência, foram observadas as seguin</w:t>
      </w:r>
      <w:r>
        <w:t xml:space="preserve">tes metodologias e parâmetros: </w:t>
      </w:r>
    </w:p>
    <w:p w:rsidR="00DD7A27" w:rsidRDefault="005D3C1C">
      <w:pPr>
        <w:ind w:left="-15" w:right="0"/>
      </w:pPr>
      <w:r>
        <w:t>Fontes de Pesquisa: Realizou-se a consulta aos preços praticados no mercado fornecedor por meio de plataformas e portais eletrônicos oficiais de empresas do ramo de mobiliário corporativo, observando a equivalência técnica d</w:t>
      </w:r>
      <w:r>
        <w:t xml:space="preserve">os itens. </w:t>
      </w:r>
    </w:p>
    <w:p w:rsidR="00DD7A27" w:rsidRDefault="005D3C1C">
      <w:pPr>
        <w:ind w:left="-15" w:right="0"/>
      </w:pPr>
      <w:r>
        <w:t>Critério Metodológico: Para a definição do preço estimado de cada item, utilizou-se como parâmetro a média dos preços válidos coletados, afastando-se eventuais valores discrepantes ou manifestamente inexequíveis que pudessem distorcer o teto orç</w:t>
      </w:r>
      <w:r>
        <w:t xml:space="preserve">amentário; </w:t>
      </w:r>
    </w:p>
    <w:p w:rsidR="00DD7A27" w:rsidRDefault="005D3C1C">
      <w:pPr>
        <w:ind w:left="-15" w:right="0"/>
      </w:pPr>
      <w:r>
        <w:t xml:space="preserve">O detalhamento completo da cotação de preços, com os respectivos </w:t>
      </w:r>
      <w:r>
        <w:rPr>
          <w:i/>
        </w:rPr>
        <w:t>links</w:t>
      </w:r>
      <w:r>
        <w:t xml:space="preserve"> de acesso, datas de consulta e relatórios analíticos, integra o anexo do processo administrativo da licitação, servindo de base para a fixação do valor estimado/máximo do Pr</w:t>
      </w:r>
      <w:r>
        <w:t xml:space="preserve">egão Eletrônico nº 03/2026 - Processo nº 017/2026.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pStyle w:val="Heading1"/>
        <w:ind w:left="705" w:hanging="360"/>
      </w:pPr>
      <w:r>
        <w:t xml:space="preserve">DESCRIÇÃO DA SOLUÇÃO COMO UM TODO </w:t>
      </w:r>
    </w:p>
    <w:p w:rsidR="00DD7A27" w:rsidRDefault="005D3C1C">
      <w:pPr>
        <w:spacing w:after="103" w:line="259" w:lineRule="auto"/>
        <w:ind w:left="360" w:right="0" w:firstLine="0"/>
        <w:jc w:val="left"/>
      </w:pPr>
      <w:r>
        <w:rPr>
          <w:sz w:val="10"/>
        </w:rPr>
        <w:t xml:space="preserve"> </w:t>
      </w:r>
    </w:p>
    <w:p w:rsidR="00DD7A27" w:rsidRDefault="005D3C1C">
      <w:pPr>
        <w:ind w:left="-15" w:right="0"/>
      </w:pPr>
      <w:r>
        <w:t>A solução proposta consiste na aquisição padronizada de mobiliário corporativo novo e sem uso para a Câmara Municipal de Canguçu/RS. A medida visa substituir peças o</w:t>
      </w:r>
      <w:r>
        <w:t xml:space="preserve">bsoletas ou avariadas pelo uso contínuo e complementar a infraestrutura física dos setores administrativos e </w:t>
      </w:r>
    </w:p>
    <w:p w:rsidR="00DD7A27" w:rsidRDefault="005D3C1C">
      <w:pPr>
        <w:ind w:left="-15" w:right="0"/>
      </w:pPr>
      <w:r>
        <w:t xml:space="preserve">gabinetes parlamentares, garantindo conformidade ergonômica, funcionalidade, organização patrimonial e atendimento digno ao público.  </w:t>
      </w:r>
    </w:p>
    <w:p w:rsidR="00DD7A27" w:rsidRDefault="005D3C1C">
      <w:pPr>
        <w:ind w:left="-15" w:right="0"/>
      </w:pPr>
      <w:r>
        <w:t>Trata-se de</w:t>
      </w:r>
      <w:r>
        <w:t xml:space="preserve"> uma solução integral, na qual o valor cotado pelas licitantes deverá ser final e na modalidade CIF (sem ônus adicional à Administração), abrangendo não apenas o fornecimento dos bens em embalagens originais, mas também toda a logística de transporte, desc</w:t>
      </w:r>
      <w:r>
        <w:t xml:space="preserve">arregamento, movimentação interna, montagem completa, alinhamento técnico e o recolhimento com destinação ambientalmente adequada dos resíduos de embalagens.  </w:t>
      </w:r>
    </w:p>
    <w:p w:rsidR="00DD7A27" w:rsidRDefault="005D3C1C">
      <w:pPr>
        <w:spacing w:after="3" w:line="259" w:lineRule="auto"/>
        <w:ind w:left="10" w:right="-8" w:hanging="10"/>
        <w:jc w:val="right"/>
      </w:pPr>
      <w:r>
        <w:t xml:space="preserve">A contratação será viabilizada mediante licitação na modalidade Pregão Eletrônico, regida </w:t>
      </w:r>
    </w:p>
    <w:p w:rsidR="00DD7A27" w:rsidRDefault="005D3C1C">
      <w:pPr>
        <w:ind w:left="-15" w:right="0" w:firstLine="0"/>
      </w:pPr>
      <w:r>
        <w:t>pela Lei Federal nº 14.133/2021, primando pela ampla competitividade e pela busca do menor preço. A fiscalização no recebimento será realizada por servidor ou comissão designada pela Administração, responsável por conferir a integridade física, a montagem,</w:t>
      </w:r>
      <w:r>
        <w:t xml:space="preserve"> a qualidade dos produtos e a estrita conformidade técnica dos itens entregues com as exigências editalícias, antecedendo a emissão do aceite provisório e definitivo para fins de liquidação da despesa. 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pStyle w:val="Heading1"/>
        <w:ind w:left="705" w:hanging="360"/>
      </w:pPr>
      <w:r>
        <w:t xml:space="preserve">JUSTIFICATIVA PARA PARCELAMENTO OU NÃO DA SOLUÇÃO </w:t>
      </w:r>
    </w:p>
    <w:p w:rsidR="00DD7A27" w:rsidRDefault="005D3C1C">
      <w:pPr>
        <w:spacing w:after="103" w:line="259" w:lineRule="auto"/>
        <w:ind w:left="360" w:right="0" w:firstLine="0"/>
        <w:jc w:val="left"/>
      </w:pPr>
      <w:r>
        <w:rPr>
          <w:sz w:val="10"/>
        </w:rPr>
        <w:t xml:space="preserve"> </w:t>
      </w:r>
    </w:p>
    <w:p w:rsidR="00DD7A27" w:rsidRDefault="005D3C1C">
      <w:pPr>
        <w:ind w:left="-15" w:right="0"/>
      </w:pPr>
      <w:r>
        <w:t>O objeto desta licitação será dividido e julgado por item, uma vez que não há justificativa técnica ou econômica para o agrupamento em lotes. O parcelamento visa maximizar a competitividade do certame e incentivar a participação de fornecedores especial</w:t>
      </w:r>
      <w:r>
        <w:t xml:space="preserve">izados por tipo de mobiliário, assegurando a seleção das propostas de menor preço e maior qualidade para a Câmara Municipal.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pStyle w:val="Heading1"/>
        <w:ind w:left="705" w:hanging="360"/>
      </w:pPr>
      <w:r>
        <w:t xml:space="preserve">RESULTADOS PRETENDIDOS </w:t>
      </w:r>
    </w:p>
    <w:p w:rsidR="00DD7A27" w:rsidRDefault="005D3C1C">
      <w:pPr>
        <w:spacing w:after="103" w:line="259" w:lineRule="auto"/>
        <w:ind w:left="360" w:right="0" w:firstLine="0"/>
        <w:jc w:val="left"/>
      </w:pPr>
      <w:r>
        <w:rPr>
          <w:b/>
          <w:sz w:val="10"/>
        </w:rPr>
        <w:t xml:space="preserve"> </w:t>
      </w:r>
    </w:p>
    <w:p w:rsidR="00DD7A27" w:rsidRDefault="005D3C1C">
      <w:pPr>
        <w:ind w:left="-15" w:right="0"/>
      </w:pPr>
      <w:r>
        <w:t>A contratação pretende modernizar e adequar a infraestrutura física da Câmara Municipal de Canguçu med</w:t>
      </w:r>
      <w:r>
        <w:t>iante a substituição de mobiliário desgastado pelo tempo e a complementação dos postos de trabalho nos setores administrativos e gabinetes. Busca-se assegurar a conformidade ergonômica e o conforto funcional de servidores e vereadores, otimizar a capacidad</w:t>
      </w:r>
      <w:r>
        <w:t xml:space="preserve">e de armazenamento de documentos e materiais de expediente e elevar a qualidade, organização e dignidade do atendimento prestado à população. 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pStyle w:val="Heading1"/>
        <w:ind w:left="705" w:hanging="360"/>
      </w:pPr>
      <w:r>
        <w:t xml:space="preserve">POSSÍVEIS IMPACTOS AMBIENTAIS </w:t>
      </w:r>
    </w:p>
    <w:p w:rsidR="00DD7A27" w:rsidRDefault="005D3C1C">
      <w:pPr>
        <w:spacing w:after="103" w:line="259" w:lineRule="auto"/>
        <w:ind w:left="360" w:right="0" w:firstLine="0"/>
        <w:jc w:val="left"/>
      </w:pPr>
      <w:r>
        <w:rPr>
          <w:b/>
          <w:sz w:val="10"/>
        </w:rPr>
        <w:t xml:space="preserve"> </w:t>
      </w:r>
    </w:p>
    <w:p w:rsidR="00DD7A27" w:rsidRDefault="005D3C1C">
      <w:pPr>
        <w:ind w:left="-15" w:right="0"/>
      </w:pPr>
      <w:r>
        <w:t xml:space="preserve">A aquisição de mobiliário poderá gerar impactos ambientais relacionados principalmente ao consumo de matérias-primas utilizadas na fabricação dos produtos e à geração de resíduos decorrentes das embalagens e, futuramente, do descarte dos móveis. </w:t>
      </w:r>
    </w:p>
    <w:p w:rsidR="00DD7A27" w:rsidRDefault="005D3C1C">
      <w:pPr>
        <w:ind w:left="-15" w:right="0"/>
      </w:pPr>
      <w:r>
        <w:t>Como medi</w:t>
      </w:r>
      <w:r>
        <w:t xml:space="preserve">da de redução desses impactos, deverá ser priorizado o fornecimento de produtos com materiais resistentes e duráveis, de modo a ampliar sua vida útil e reduzir a necessidade de substituições frequentes. </w:t>
      </w:r>
    </w:p>
    <w:p w:rsidR="00DD7A27" w:rsidRDefault="005D3C1C">
      <w:pPr>
        <w:ind w:left="-15" w:right="0"/>
      </w:pPr>
      <w:r>
        <w:t>A contratada deverá, sempre que possível, realizar o</w:t>
      </w:r>
      <w:r>
        <w:t xml:space="preserve"> descarte ambientalmente adequado das embalagens e resíduos decorrentes da entrega dos produtos, observando a legislação ambiental aplicável.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pStyle w:val="Heading1"/>
        <w:ind w:left="705" w:hanging="360"/>
      </w:pPr>
      <w:r>
        <w:t xml:space="preserve">ANÁLISE DE RISCOS DA AQUISIÇÃO </w:t>
      </w:r>
    </w:p>
    <w:p w:rsidR="00DD7A27" w:rsidRDefault="005D3C1C">
      <w:pPr>
        <w:spacing w:after="103" w:line="259" w:lineRule="auto"/>
        <w:ind w:left="360" w:right="0" w:firstLine="0"/>
        <w:jc w:val="left"/>
      </w:pPr>
      <w:r>
        <w:rPr>
          <w:b/>
          <w:sz w:val="10"/>
        </w:rPr>
        <w:t xml:space="preserve"> </w:t>
      </w:r>
    </w:p>
    <w:p w:rsidR="00DD7A27" w:rsidRDefault="005D3C1C">
      <w:pPr>
        <w:ind w:left="-15" w:right="0"/>
      </w:pPr>
      <w:r>
        <w:t xml:space="preserve">A aquisição de mobiliários para a Câmara Municipal de Canguçu envolve riscos </w:t>
      </w:r>
      <w:r>
        <w:t xml:space="preserve">que podem comprometer a eficiência do processo e o atendimento adequado das necessidades dos setores administrativos e gabinetes. O principal risco é o atraso na entrega dos móveis, podendo prejudicar a substituição e complementação do mobiliário e afetar </w:t>
      </w:r>
      <w:r>
        <w:t xml:space="preserve">as condições de trabalho dos servidores e vereadores. Esse risco poderá ser reduzido mediante a definição de prazo claro para entrega, previsão de penalidades e acompanhamento rigoroso da execução do mesmo. </w:t>
      </w:r>
    </w:p>
    <w:p w:rsidR="00DD7A27" w:rsidRDefault="005D3C1C">
      <w:pPr>
        <w:ind w:left="-15" w:right="0"/>
      </w:pPr>
      <w:r>
        <w:t>Outro risco é o fornecimento de produtos em desa</w:t>
      </w:r>
      <w:r>
        <w:t>cordo com as especificações exigidas, como dimensões, materiais, acabamentos, características estruturais ou demais requisitos estabelecidos no Termo de Referência, comprometendo sua utilização e adequação aos ambientes da Câmara. Para evitá-lo, é essencia</w:t>
      </w:r>
      <w:r>
        <w:t xml:space="preserve">l detalhar as especificações dos itens no Termo de Referência, realizar a conferência dos produtos no momento do recebimento e prever a substituição daqueles que apresentarem desconformidade. </w:t>
      </w:r>
    </w:p>
    <w:p w:rsidR="00DD7A27" w:rsidRDefault="005D3C1C">
      <w:pPr>
        <w:ind w:left="-15" w:right="0"/>
      </w:pPr>
      <w:r>
        <w:t>Os custos superiores aos valores estimados também representam u</w:t>
      </w:r>
      <w:r>
        <w:t>m possível risco, podendo comprometer a economicidade da contratação. Nesse sentido, deverá ser realizada pesquisa de preços compatível com os produtos e especificações pretendidos, permitindo verificar a adequação dos valores praticados no mercado e selec</w:t>
      </w:r>
      <w:r>
        <w:t xml:space="preserve">ionar a proposta mais vantajosa para a Administração. </w:t>
      </w:r>
    </w:p>
    <w:p w:rsidR="00DD7A27" w:rsidRDefault="005D3C1C">
      <w:pPr>
        <w:ind w:left="-15" w:right="0"/>
      </w:pPr>
      <w:r>
        <w:t>Além disso, há o risco de os móveis apresentarem defeitos de fabricação, avarias ou baixa qualidade, comprometendo sua durabilidade, segurança e utilização. A exigência de produtos novos e de qualidade adequada, aliada à conferência no recebimento e à gara</w:t>
      </w:r>
      <w:r>
        <w:t xml:space="preserve">ntia dos itens, quando prevista, contribuirá para assegurar a qualidade dos produtos fornecidos e possibilitar sua substituição em caso de defeitos. </w:t>
      </w:r>
    </w:p>
    <w:p w:rsidR="00DD7A27" w:rsidRDefault="005D3C1C">
      <w:pPr>
        <w:ind w:left="-15" w:right="0"/>
      </w:pPr>
      <w:r>
        <w:t>A descontinuidade de fornecimento ou eventual incapacidade do fornecedor de cumprir as condições contratad</w:t>
      </w:r>
      <w:r>
        <w:t xml:space="preserve">as também poderá prejudicar o atendimento da demanda. O acompanhamento da execução contratual e a adoção das medidas administrativas cabíveis em caso de descumprimento das obrigações contribuirão para reduzir os impactos decorrentes dessa situação. </w:t>
      </w:r>
    </w:p>
    <w:p w:rsidR="00DD7A27" w:rsidRDefault="005D3C1C">
      <w:pPr>
        <w:ind w:left="-15" w:right="0"/>
      </w:pPr>
      <w:r>
        <w:t>Por fi</w:t>
      </w:r>
      <w:r>
        <w:t>m, existe o risco de inadequação dos mobiliários aos espaços e às necessidades dos setores administrativos e gabinetes, especialmente quanto às dimensões e características dos produtos. A definição prévia e detalhada das especificações técnicas, consideran</w:t>
      </w:r>
      <w:r>
        <w:t xml:space="preserve">do as necessidades identificadas pela Câmara, bem como a conferência dos itens no momento da entrega, contribuirão para assegurar a adequada utilização dos móveis.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pStyle w:val="Heading1"/>
        <w:ind w:left="705" w:hanging="360"/>
      </w:pPr>
      <w:r>
        <w:t xml:space="preserve">DECLARAÇÃO DE VIABILIDADE </w:t>
      </w:r>
    </w:p>
    <w:p w:rsidR="00DD7A27" w:rsidRDefault="005D3C1C">
      <w:pPr>
        <w:spacing w:after="103" w:line="259" w:lineRule="auto"/>
        <w:ind w:left="360" w:right="0" w:firstLine="0"/>
        <w:jc w:val="left"/>
      </w:pPr>
      <w:r>
        <w:rPr>
          <w:b/>
          <w:sz w:val="10"/>
        </w:rPr>
        <w:t xml:space="preserve"> </w:t>
      </w:r>
    </w:p>
    <w:p w:rsidR="00DD7A27" w:rsidRDefault="005D3C1C">
      <w:pPr>
        <w:ind w:left="-15" w:right="0" w:firstLine="0"/>
      </w:pPr>
      <w:r>
        <w:t>Com base nas justificativas apresentadas, declara-se a VIABI</w:t>
      </w:r>
      <w:r>
        <w:t xml:space="preserve">LIDADE TÉCNICA E ECONÔMICA do prosseguimento do processo licitatório na modalidade Pregão Eletrônico, regido pela Lei nº 14.133/2021, para a aquisição do mobiliário especificado.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spacing w:after="0" w:line="259" w:lineRule="auto"/>
        <w:ind w:right="0" w:firstLine="0"/>
        <w:jc w:val="left"/>
      </w:pPr>
      <w:r>
        <w:t xml:space="preserve"> </w:t>
      </w:r>
    </w:p>
    <w:p w:rsidR="00DD7A27" w:rsidRDefault="005D3C1C">
      <w:pPr>
        <w:spacing w:after="3" w:line="259" w:lineRule="auto"/>
        <w:ind w:left="10" w:right="8" w:hanging="10"/>
        <w:jc w:val="center"/>
      </w:pPr>
      <w:r>
        <w:t xml:space="preserve">_________________________________ </w:t>
      </w:r>
    </w:p>
    <w:p w:rsidR="00DD7A27" w:rsidRDefault="005D3C1C">
      <w:pPr>
        <w:spacing w:after="0" w:line="259" w:lineRule="auto"/>
        <w:ind w:right="6" w:firstLine="0"/>
        <w:jc w:val="center"/>
      </w:pPr>
      <w:r>
        <w:rPr>
          <w:b/>
        </w:rPr>
        <w:t xml:space="preserve">CARLOS EDUARDO DOMINGUES MARTINS </w:t>
      </w:r>
    </w:p>
    <w:p w:rsidR="00DD7A27" w:rsidRDefault="005D3C1C">
      <w:pPr>
        <w:spacing w:after="3" w:line="259" w:lineRule="auto"/>
        <w:ind w:left="10" w:right="6" w:hanging="10"/>
        <w:jc w:val="center"/>
      </w:pPr>
      <w:r>
        <w:t xml:space="preserve">Presidente da Câmara Municipal de Canguçu </w:t>
      </w:r>
    </w:p>
    <w:sectPr w:rsidR="00DD7A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595" w:right="1433" w:bottom="870" w:left="1440" w:header="284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D3C1C">
      <w:pPr>
        <w:spacing w:after="0" w:line="240" w:lineRule="auto"/>
      </w:pPr>
      <w:r>
        <w:separator/>
      </w:r>
    </w:p>
  </w:endnote>
  <w:endnote w:type="continuationSeparator" w:id="0">
    <w:p w:rsidR="00000000" w:rsidRDefault="005D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A27" w:rsidRDefault="005D3C1C">
    <w:pPr>
      <w:spacing w:after="0" w:line="259" w:lineRule="auto"/>
      <w:ind w:left="2306" w:right="0" w:firstLine="0"/>
      <w:jc w:val="left"/>
    </w:pPr>
    <w:r>
      <w:rPr>
        <w:b/>
        <w:i/>
        <w:sz w:val="20"/>
      </w:rPr>
      <w:t xml:space="preserve">“DOE SANGUE, DOE ÓRGÃOS, SALVE UMA VIDA!”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A27" w:rsidRDefault="005D3C1C">
    <w:pPr>
      <w:spacing w:after="0" w:line="259" w:lineRule="auto"/>
      <w:ind w:left="2306" w:right="0" w:firstLine="0"/>
      <w:jc w:val="left"/>
    </w:pPr>
    <w:r>
      <w:rPr>
        <w:b/>
        <w:i/>
        <w:sz w:val="20"/>
      </w:rPr>
      <w:t>“DOE SANGUE, DOE ÓRGÃOS, SALVE UMA</w:t>
    </w:r>
    <w:r>
      <w:rPr>
        <w:b/>
        <w:i/>
        <w:sz w:val="20"/>
      </w:rPr>
      <w:t xml:space="preserve"> VIDA!”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A27" w:rsidRDefault="005D3C1C">
    <w:pPr>
      <w:spacing w:after="0" w:line="259" w:lineRule="auto"/>
      <w:ind w:left="2306" w:right="0" w:firstLine="0"/>
      <w:jc w:val="left"/>
    </w:pPr>
    <w:r>
      <w:rPr>
        <w:b/>
        <w:i/>
        <w:sz w:val="20"/>
      </w:rPr>
      <w:t xml:space="preserve">“DOE SANGUE, DOE ÓRGÃOS, SALVE UMA VIDA!”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D3C1C">
      <w:pPr>
        <w:spacing w:after="0" w:line="240" w:lineRule="auto"/>
      </w:pPr>
      <w:r>
        <w:separator/>
      </w:r>
    </w:p>
  </w:footnote>
  <w:footnote w:type="continuationSeparator" w:id="0">
    <w:p w:rsidR="00000000" w:rsidRDefault="005D3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A27" w:rsidRDefault="005D3C1C">
    <w:pPr>
      <w:spacing w:after="0" w:line="259" w:lineRule="auto"/>
      <w:ind w:left="42" w:right="0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3522980</wp:posOffset>
          </wp:positionH>
          <wp:positionV relativeFrom="page">
            <wp:posOffset>180340</wp:posOffset>
          </wp:positionV>
          <wp:extent cx="723900" cy="752475"/>
          <wp:effectExtent l="0" t="0" r="0" b="0"/>
          <wp:wrapSquare wrapText="bothSides"/>
          <wp:docPr id="56" name="Picture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390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4"/>
      </w:rPr>
      <w:t xml:space="preserve"> </w:t>
    </w:r>
  </w:p>
  <w:p w:rsidR="00DD7A27" w:rsidRDefault="005D3C1C">
    <w:pPr>
      <w:tabs>
        <w:tab w:val="center" w:pos="1968"/>
        <w:tab w:val="center" w:pos="4676"/>
      </w:tabs>
      <w:spacing w:after="0" w:line="259" w:lineRule="auto"/>
      <w:ind w:right="0" w:firstLine="0"/>
      <w:jc w:val="left"/>
    </w:pPr>
    <w:r>
      <w:rPr>
        <w:b/>
        <w:sz w:val="24"/>
      </w:rPr>
      <w:t xml:space="preserve"> </w:t>
    </w:r>
    <w:r>
      <w:rPr>
        <w:b/>
        <w:sz w:val="24"/>
      </w:rPr>
      <w:tab/>
      <w:t xml:space="preserve"> </w:t>
    </w:r>
    <w:r>
      <w:rPr>
        <w:b/>
        <w:sz w:val="24"/>
      </w:rPr>
      <w:tab/>
      <w:t xml:space="preserve">CÂMARA MUNICIPAL DE CANGUÇU </w:t>
    </w:r>
  </w:p>
  <w:p w:rsidR="00DD7A27" w:rsidRDefault="005D3C1C">
    <w:pPr>
      <w:spacing w:after="19" w:line="259" w:lineRule="auto"/>
      <w:ind w:left="2847" w:right="0" w:firstLine="0"/>
      <w:jc w:val="left"/>
    </w:pPr>
    <w:r>
      <w:rPr>
        <w:b/>
      </w:rPr>
      <w:t xml:space="preserve">ESTADO DO RIO GRANDE DO SUL </w:t>
    </w:r>
  </w:p>
  <w:p w:rsidR="00DD7A27" w:rsidRDefault="005D3C1C">
    <w:pPr>
      <w:spacing w:after="0" w:line="223" w:lineRule="auto"/>
      <w:ind w:left="2088" w:right="853" w:hanging="336"/>
    </w:pPr>
    <w:r>
      <w:rPr>
        <w:sz w:val="20"/>
      </w:rPr>
      <w:t xml:space="preserve">Rua General Osório, 979. Centro. CEP: 96600-000. Canguçu </w:t>
    </w:r>
    <w:r>
      <w:rPr>
        <w:sz w:val="20"/>
      </w:rPr>
      <w:t>–</w:t>
    </w:r>
    <w:r>
      <w:rPr>
        <w:sz w:val="20"/>
      </w:rPr>
      <w:t xml:space="preserve"> RS </w:t>
    </w:r>
    <w:r>
      <w:rPr>
        <w:sz w:val="20"/>
      </w:rPr>
      <w:t>Telefone: (53) 3252-2388. http://camaracangucu.rs.gov.br/</w:t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A27" w:rsidRDefault="005D3C1C">
    <w:pPr>
      <w:spacing w:after="0" w:line="259" w:lineRule="auto"/>
      <w:ind w:left="42" w:right="0" w:firstLine="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3522980</wp:posOffset>
          </wp:positionH>
          <wp:positionV relativeFrom="page">
            <wp:posOffset>180340</wp:posOffset>
          </wp:positionV>
          <wp:extent cx="723900" cy="752475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390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4"/>
      </w:rPr>
      <w:t xml:space="preserve"> </w:t>
    </w:r>
  </w:p>
  <w:p w:rsidR="00DD7A27" w:rsidRDefault="005D3C1C">
    <w:pPr>
      <w:tabs>
        <w:tab w:val="center" w:pos="1968"/>
        <w:tab w:val="center" w:pos="4676"/>
      </w:tabs>
      <w:spacing w:after="0" w:line="259" w:lineRule="auto"/>
      <w:ind w:right="0" w:firstLine="0"/>
      <w:jc w:val="left"/>
    </w:pPr>
    <w:r>
      <w:rPr>
        <w:b/>
        <w:sz w:val="24"/>
      </w:rPr>
      <w:t xml:space="preserve"> </w:t>
    </w:r>
    <w:r>
      <w:rPr>
        <w:b/>
        <w:sz w:val="24"/>
      </w:rPr>
      <w:tab/>
      <w:t xml:space="preserve"> </w:t>
    </w:r>
    <w:r>
      <w:rPr>
        <w:b/>
        <w:sz w:val="24"/>
      </w:rPr>
      <w:tab/>
      <w:t xml:space="preserve">CÂMARA MUNICIPAL DE CANGUÇU </w:t>
    </w:r>
  </w:p>
  <w:p w:rsidR="00DD7A27" w:rsidRDefault="005D3C1C">
    <w:pPr>
      <w:spacing w:after="19" w:line="259" w:lineRule="auto"/>
      <w:ind w:left="2847" w:right="0" w:firstLine="0"/>
      <w:jc w:val="left"/>
    </w:pPr>
    <w:r>
      <w:rPr>
        <w:b/>
      </w:rPr>
      <w:t xml:space="preserve">ESTADO DO RIO GRANDE DO SUL </w:t>
    </w:r>
  </w:p>
  <w:p w:rsidR="00DD7A27" w:rsidRDefault="005D3C1C">
    <w:pPr>
      <w:spacing w:after="0" w:line="223" w:lineRule="auto"/>
      <w:ind w:left="2088" w:right="853" w:hanging="336"/>
    </w:pPr>
    <w:r>
      <w:rPr>
        <w:sz w:val="20"/>
      </w:rPr>
      <w:t xml:space="preserve">Rua General Osório, 979. Centro. CEP: 96600-000. Canguçu </w:t>
    </w:r>
    <w:r>
      <w:rPr>
        <w:sz w:val="20"/>
      </w:rPr>
      <w:t>–</w:t>
    </w:r>
    <w:r>
      <w:rPr>
        <w:sz w:val="20"/>
      </w:rPr>
      <w:t xml:space="preserve"> RS Telefone: (53) 3252-2388. http://camaracangucu.rs.gov.br/</w:t>
    </w: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A27" w:rsidRDefault="005D3C1C">
    <w:pPr>
      <w:spacing w:after="0" w:line="259" w:lineRule="auto"/>
      <w:ind w:left="42" w:right="0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3522980</wp:posOffset>
          </wp:positionH>
          <wp:positionV relativeFrom="page">
            <wp:posOffset>180340</wp:posOffset>
          </wp:positionV>
          <wp:extent cx="723900" cy="752475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390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4"/>
      </w:rPr>
      <w:t xml:space="preserve"> </w:t>
    </w:r>
  </w:p>
  <w:p w:rsidR="00DD7A27" w:rsidRDefault="005D3C1C">
    <w:pPr>
      <w:tabs>
        <w:tab w:val="center" w:pos="1968"/>
        <w:tab w:val="center" w:pos="4676"/>
      </w:tabs>
      <w:spacing w:after="0" w:line="259" w:lineRule="auto"/>
      <w:ind w:right="0" w:firstLine="0"/>
      <w:jc w:val="left"/>
    </w:pPr>
    <w:r>
      <w:rPr>
        <w:b/>
        <w:sz w:val="24"/>
      </w:rPr>
      <w:t xml:space="preserve"> </w:t>
    </w:r>
    <w:r>
      <w:rPr>
        <w:b/>
        <w:sz w:val="24"/>
      </w:rPr>
      <w:tab/>
      <w:t xml:space="preserve"> </w:t>
    </w:r>
    <w:r>
      <w:rPr>
        <w:b/>
        <w:sz w:val="24"/>
      </w:rPr>
      <w:tab/>
    </w:r>
    <w:r>
      <w:rPr>
        <w:b/>
        <w:sz w:val="24"/>
      </w:rPr>
      <w:t xml:space="preserve">CÂMARA MUNICIPAL DE CANGUÇU </w:t>
    </w:r>
  </w:p>
  <w:p w:rsidR="00DD7A27" w:rsidRDefault="005D3C1C">
    <w:pPr>
      <w:spacing w:after="19" w:line="259" w:lineRule="auto"/>
      <w:ind w:left="2847" w:right="0" w:firstLine="0"/>
      <w:jc w:val="left"/>
    </w:pPr>
    <w:r>
      <w:rPr>
        <w:b/>
      </w:rPr>
      <w:t xml:space="preserve">ESTADO DO RIO GRANDE DO SUL </w:t>
    </w:r>
  </w:p>
  <w:p w:rsidR="00DD7A27" w:rsidRDefault="005D3C1C">
    <w:pPr>
      <w:spacing w:after="0" w:line="223" w:lineRule="auto"/>
      <w:ind w:left="2088" w:right="853" w:hanging="336"/>
    </w:pPr>
    <w:r>
      <w:rPr>
        <w:sz w:val="20"/>
      </w:rPr>
      <w:t xml:space="preserve">Rua General Osório, 979. Centro. CEP: 96600-000. Canguçu </w:t>
    </w:r>
    <w:r>
      <w:rPr>
        <w:sz w:val="20"/>
      </w:rPr>
      <w:t>–</w:t>
    </w:r>
    <w:r>
      <w:rPr>
        <w:sz w:val="20"/>
      </w:rPr>
      <w:t xml:space="preserve"> RS Telefone: (53) 3252-2388. http://camaracangucu.rs.gov.br/</w:t>
    </w: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2B1"/>
    <w:multiLevelType w:val="hybridMultilevel"/>
    <w:tmpl w:val="FB48BFBC"/>
    <w:lvl w:ilvl="0" w:tplc="0E58B418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AE421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407C3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C00A0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2224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B8DBA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18105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62460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261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A2468E"/>
    <w:multiLevelType w:val="hybridMultilevel"/>
    <w:tmpl w:val="F81E3C00"/>
    <w:lvl w:ilvl="0" w:tplc="5E4E30AA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FAE03A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4EDBC4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40D12E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B8048C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8877D0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D870BA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5098BE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4D9B6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3D24DE"/>
    <w:multiLevelType w:val="hybridMultilevel"/>
    <w:tmpl w:val="485C6AD0"/>
    <w:lvl w:ilvl="0" w:tplc="3B98C38C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3EFE3E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429CBE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B676D8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5262DC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FEEE44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88047C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4CA0EA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D2456E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996586"/>
    <w:multiLevelType w:val="hybridMultilevel"/>
    <w:tmpl w:val="01046546"/>
    <w:lvl w:ilvl="0" w:tplc="8A1E3A10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D766036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16728AF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6DEED1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0364649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E8BE641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00AEF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9AA2E9B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C480154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27"/>
    <w:rsid w:val="005D3C1C"/>
    <w:rsid w:val="00DD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00B810BE-4E44-4ED2-9B1B-798646F7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right="3" w:firstLine="556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4"/>
      </w:numPr>
      <w:spacing w:after="0"/>
      <w:ind w:left="37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3121</Words>
  <Characters>17795</Characters>
  <Application>Microsoft Office Word</Application>
  <DocSecurity>4</DocSecurity>
  <Lines>148</Lines>
  <Paragraphs>41</Paragraphs>
  <ScaleCrop>false</ScaleCrop>
  <Company/>
  <LinksUpToDate>false</LinksUpToDate>
  <CharactersWithSpaces>20875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Madeira</dc:creator>
  <cp:keywords/>
  <cp:lastModifiedBy>word</cp:lastModifiedBy>
  <cp:revision>2</cp:revision>
  <dcterms:created xsi:type="dcterms:W3CDTF">2026-08-31T17:10:00Z</dcterms:created>
  <dcterms:modified xsi:type="dcterms:W3CDTF">2026-08-31T17:10:00Z</dcterms:modified>
</cp:coreProperties>
</file>